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customary adjustments at Closing for indebtedness, cash and working capital, calculated in accordance with accounting principles and procedures to be agreed by the parties. The purchase price and adjustments remain subject to the parties’ agreement in the definitive documentation.</w:t>
      </w:r>
    </w:p>
    <w:p>
      <w:r>
        <w:t>2. Closing; Conditions. Closing shall occur within 30 days after signing, or on another date agreed in writing. Each party’s obligation to close is conditioned on the other party’s performance in all material respects of its pre-closing obligations and the accuracy of its representations at Closing, subject to agreed materiality standards. The Buyer’s obligation to close is also conditioned on completion of due diligence satisfactory to the Buyer and receipt of required governmental and third-party consents. The parties shall cooperate in seeking such consents. The definitive agreement shall set out the closing deliverables and the process for determining the closing adjustments.</w:t>
      </w:r>
    </w:p>
    <w:p>
      <w:r>
        <w:t>3. Representations; Interim Covenants; Indemnification. The Seller shall make customary representations and warranties, subject to negotiated qualifications and disclosure schedules, concerning its authority, capitalization, financial statements, taxes, compliance with applicable law and absence of undisclosed liabilities. The definitive agreement shall include customary representation and warranty bring-down provisions, indemnification obligations, limitations, survival periods, and claim notice and resolution procedures. From signing until Closing, the Seller shall operate the business in the ordinary course and shall not take specified material actions outside the ordinary course without the Buyer’s consent, not to be unreasonably withheld or delayed.</w:t>
      </w:r>
    </w:p>
    <w:p>
      <w:r>
        <w:t>4. Confidentiality; Termination. The terms of this Agreement and information exchanged in connection with the transaction are confidential, subject to customary exceptions. The definitive agreement shall provide customary termination rights, including by mutual written agreement, for a material breach that remains uncured after applicable notice and cure periods, and if Closing has not occurred by an agreed outside date, subject to customary limitations and consequences.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