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42,000,000 in immediately available funds for the Shares. The purchase price is not subject to adjustment based on the Buyer’s due diligence.</w:t>
      </w:r>
    </w:p>
    <w:p>
      <w:r>
        <w:t>2. Closing; Conditions; Termination. Closing shall occur within 60 days after signing, subject to receipt of required governmental and third-party approvals, the accuracy in all material respects of each party’s representations and warranties at Closing, performance in all material respects of each party’s pre-Closing obligations, and the absence of a Material Adverse Change affecting the Company. “Material Adverse Change” means a material adverse effect on the Company’s business, assets or financial condition, excluding effects arising from general economic or industry conditions, changes in law or accounting rules, or the announcement of this transaction, except to the extent such effects disproportionately affect the Company. The Buyer may conduct reasonable due diligence during the 20-business-day period following signing, with reasonable access subject to confidentiality and non-disruption of the business. The Buyer may terminate during that period only by written notice identifying a material adverse matter first identified in diligence and not fairly disclosed in the disclosure schedules or materials made available before signing. Either party may terminate if Closing has not occurred within 90 days after signing, unless that party’s material breach caused the delay; either party may also terminate for the other party’s uncured material breach after 15 days’ written notice. Termination does not affect liability for a prior breach or continuing confidentiality obligations.</w:t>
      </w:r>
    </w:p>
    <w:p>
      <w:r>
        <w:t>3. Representations; Disclosure; Indemnification. Subject to the disclosure schedules delivered with this Agreement, the Seller represents and warrants that: (a) it owns the Shares free of liens and has authority to enter into and perform this Agreement; (b) the Company’s financial statements fairly present, in all material respects, its financial position and results for the periods presented, in accordance with the accounting principles consistently applied in their preparation; (c) the Company has no material liabilities except those reflected or reserved for in those statements, incurred in the ordinary course since their date, or disclosed in the disclosure schedules; (d) the Company has filed material tax returns and paid material taxes due, except amounts being contested in good faith or disclosed in the disclosure schedules; (e) the material contracts identified in the disclosure schedules are in effect and, to the Seller’s knowledge, no material default exists under them; and (f) the Company is in material compliance with applicable laws. The Seller shall deliver disclosure schedules identifying exceptions to these representations and material contracts before signing. Each party shall indemnify the other for losses arising from its breach of this Agreement, subject to notice and a reasonable opportunity to defend third-party claims. Claims for breaches of non-fundamental representations must be made within 12 months after Closing, are recoverable only to the extent aggregate losses exceed 1% of the purchase price, and are capped at 10% of the purchase price. Claims concerning title to the Shares or authority must be made within three years after Closing and are capped at the purchase price. These limits do not apply to fraud.</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