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42,000,000 in immediately available funds for the Shares.</w:t>
      </w:r>
    </w:p>
    <w:p>
      <w:r>
        <w:t>2. Closing. The parties shall use commercially reasonable efforts to close within 45 days after signing, subject to receipt of required regulatory approvals and completion of the Buyer's due diligence. The Buyer shall conduct its diligence promptly and notify the Seller in writing of any material, specifically identified objection within 20 days after signing; absent such notice, the diligence condition shall be deemed satisfied. Neither party shall be required to close if a required approval has been denied or an applicable law prohibits Closing. The parties shall cooperate in good faith to obtain required approvals promptly.</w:t>
      </w:r>
    </w:p>
    <w:p>
      <w:r>
        <w:t>3. Seller Representations; Disclosure; Remedies. Except as set forth in disclosure schedules delivered at signing, the Seller represents that: (a) it owns the Shares free of liens other than transfer restrictions under applicable law and has authority to sell them; (b) the Company's financial statements fairly present, in all material respects, its financial position and results of operations for the periods presented; (c) the Company has no material liabilities other than those reflected or reserved against in those financial statements or incurred in the ordinary course since their date; (d) the Company is in material compliance with applicable law; and (e) since the date of the latest financial statements, no material adverse change in the Company's business, assets, or financial condition has occurred, excluding changes affecting its industry or the economy generally unless they disproportionately affect the Company. Each party shall give prompt notice of any material breach it discovers before Closing. Subject to customary exclusions for fraud and breach of the representation concerning title to the Shares, the Seller's aggregate liability for breaches of these representations shall not exceed 10% of the Purchase Price; claims must be made within 18 months after Closing and are limited to direct, reasonably documented losses, without duplication or punitive damages.</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