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that, to the Seller’s knowledge, the financial statements are accurate in all material respects as of their respective dates.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