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 at Closing by wire transfer of immediately available funds.</w:t>
      </w:r>
    </w:p>
    <w:p>
      <w:r>
        <w:t>2. Diligence and Closing. The Seller shall provide the Buyer reasonable access to customary financial, legal, and operational diligence materials, subject to applicable law and confidentiality obligations. The Buyer shall complete its diligence within 20 business days after receiving reasonable access to such materials and shall promptly identify any material concerns in writing. Closing shall occur within 10 business days after the end of that period, subject to required governmental approvals, the absence of any order prohibiting Closing, the material accuracy of each party’s representations at Closing, and each party’s material performance of its pre-Closing obligations. Diligence alone shall not create a discretionary right to terminate this Agreement.</w:t>
      </w:r>
    </w:p>
    <w:p>
      <w:r>
        <w:t>3. Representations and Indemnification. The Seller represents that it has authority to enter into and perform this Agreement and owns the Shares free of liens other than restrictions imposed by applicable securities laws. The Seller further represents that the financial statements made available to the Buyer were prepared in accordance with the accounting principles identified in those statements, consistently applied, and fairly present in all material respects the financial position and results of the business for the periods presented, subject, in the case of interim statements, to normal year-end adjustments and the absence of footnotes. Except as disclosed in the financial statements or in a disclosure schedule delivered before signing, the Seller represents that, to its knowledge, the business has no material liabilities required by those accounting principles to be reflected on a balance sheet, other than liabilities incurred in the ordinary course since the date of the most recent balance sheet. The Seller shall indemnify the Buyer for losses arising from a breach of the Seller’s representations or covenants, subject to a 12-month survival period for non-fundamental representations, a deductible equal to 1% of the Purchase Price, and an aggregate cap equal to 10% of the Purchase Price. Claims for breach of the Seller’s authority or title-to-Shares representations shall instead survive for the applicable limitations period and be capped at the Purchase Price. No party may recover more than once for the same loss, and recoverable losses shall be reduced by insurance proceeds actually received in respect of that loss.</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