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to the Seller’s knowledge, the financial statements fairly present, in all material respects, the financial position of the Company as of their respective dates, subject to any qualifications and disclosures stated in those financial statements.</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