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The Buyer shall complete its due diligence within 30 days after signing and promptly notify the Seller in writing of any identified material issue that would reasonably be expected to materially impair the value of the Company. Closing is subject to receipt of any approvals required by applicable law, and each party shall use commercially reasonable efforts to obtain them promptly. Subject to those approvals and resolution of any timely notified material diligence issue, Closing shall occur within 45 days after signing, or on another date agreed in writing by the parties.</w:t>
      </w:r>
    </w:p>
    <w:p>
      <w:r>
        <w:t>3. Representations. The Seller represents that the financial statements fairly present, in all material respects, the financial position of the Company as of their respective dates in accordance with the accounting standards applicable to those financial statements, subject to the qualifications and disclosures stated in those financial statements.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