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30 days of signing.</w:t>
      </w:r>
    </w:p>
    <w:p>
      <w:r>
        <w:t>3. Representations. The Seller represents that the financial statements fairly present, in all material respects, the financial position of the Company as of their respective dates and its results of operations for the periods then ended.</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