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42,000,000 for the Shares.</w:t>
      </w:r>
    </w:p>
    <w:p>
      <w:r>
        <w:t>2. Closing. Closing shall occur within 30 days of signing.</w:t>
      </w:r>
    </w:p>
    <w:p>
      <w:r>
        <w:t>3. Representations; Disclosure Schedules; Bring-Down; Remedy. Except as specifically disclosed in the disclosure schedules delivered by the Seller to the Buyer at signing, the Seller represents that the financial statements fairly present, in all material respects, the financial position of the Company as of their respective dates and its results of operations for the periods then ended. The Seller's representation in this Section 3 shall be true and correct in all material respects as of Closing as though made at Closing, except to the extent it expressly relates to an earlier date. Subject to the limitations in this Section 3, the Seller shall indemnify the Buyer for losses arising from a breach of this representation. The Buyer must give written notice describing any claim in reasonable detail within 12 months after Closing. The Seller shall have no liability unless aggregate covered losses exceed one percent of the Purchase Price, in which case the Seller shall be liable only for losses exceeding that amount; the Seller's aggregate liability under this Section 3 shall not exceed ten percent of the Purchase Price. The foregoing claim period, threshold, and cap shall not apply to the Seller's fraud.</w:t>
      </w:r>
    </w:p>
    <w:p>
      <w:r>
        <w:t>4. Confidentiality. The terms of this Agreement are confidential.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