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40,000,000 for the Shares, subject only to a closing adjustment for cash, indebtedness and normalized working capital calculated under definitions, accounting principles, a target and a dispute procedure agreed by the parties in writing before signing. No adjustment shall apply unless that mechanism is agreed.</w:t>
      </w:r>
    </w:p>
    <w:p>
      <w:r>
        <w:t>2. Closing. Closing shall occur on a mutually agreed date promptly after completion of the Buyer’s reasonable due diligence and receipt of required regulatory and corporate approvals, subject to the closing conditions in this Agreement. The parties shall cooperate in good faith to progress diligence and approvals expeditiously and agree a customary outside date before signing.</w:t>
      </w:r>
    </w:p>
    <w:p>
      <w:r>
        <w:t>3. Seller Representations; Schedules. Subject to the disclosure schedules delivered before signing and agreed by the parties, the Seller shall give customary representations concerning its authority and title to the Shares, the Company’s organization and capitalization, material contracts, compliance with law, taxes, litigation and employees. The Seller shall also represent that the financial statements identified in the schedules were prepared consistently in accordance with the stated accounting basis and fairly present, in all material respects, the Company’s financial position and results for the periods covered, subject to stated qualifications for interim statements. The parties shall agree the scope and qualifications of these representations after review of the supporting information and schedules.</w:t>
      </w:r>
    </w:p>
    <w:p>
      <w:r>
        <w:t>4. Confidentiality; Conditions and Remedies. The terms of this Agreement and information exchanged in diligence shall remain confidential, subject to customary exceptions and permitted disclosures to advisers, financing sources and authorities under appropriate confidentiality protections. Closing shall be subject to customary conditions, including required approvals, accuracy of representations under agreed materiality standards, performance of material covenants and absence of any legal prohibition. The parties shall agree before signing customary indemnification procedures and proportionate limits on post-closing claims, including survival periods, a claims threshold and cap, with exceptions for fraud and other specifically agreed matters.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