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42,000,000 for the Shares at Closing, subject to the terms of this Agreement.</w:t>
      </w:r>
    </w:p>
    <w:p>
      <w:r>
        <w:t>2. Due Diligence and Closing. The Seller shall provide reasonable access to customary due-diligence materials, subject to applicable law and confidentiality obligations. The Buyer shall complete its due diligence within 20 days after signing and notify the Seller in writing by the end of that period of any material concern, specifying its basis in reasonable detail. Closing shall occur within 30 days after signing, or, if the conditions in Section 6 have not then been satisfied or waived, within five business days after their satisfaction or waiver. Neither party may rely on a failure of a condition that it materially caused.</w:t>
      </w:r>
    </w:p>
    <w:p>
      <w:r>
        <w:t>3. Seller Representations and Warranties. Subject to the disclosure schedules delivered with this Agreement, the Seller represents and warrants as of signing and Closing as to its authority to enter into and perform this Agreement; its ownership of, and ability to transfer good title to, the Shares free of liens; the Company’s due organization and authority; the financial statements’ preparation in accordance with the accounting principles identified in the disclosure schedules and fair presentation in all material respects; and, except as disclosed, the absence of material undisclosed liabilities, material litigation and material violations of applicable law. The parties shall agree the applicable dates, knowledge and materiality qualifications in the definitive disclosure schedules.</w:t>
        <w:br/>
        <w:t>5. Interim Operations. Between signing and Closing, the Seller shall cause the Company to operate in the ordinary course in all material respects and shall not cause it to incur material non-ordinary-course debt, dispose of material assets or declare extraordinary distributions without the Buyer’s prior written consent, not to be unreasonably withheld, conditioned or delayed, except as disclosed in the schedules or required by law.</w:t>
        <w:br/>
        <w:t>6. Closing Conditions. Each party’s obligation to close is subject to required regulatory approvals and the absence of an order prohibiting Closing. The Buyer’s obligation is also subject to the Seller’s representations being true in all material respects at Closing, the Seller’s material compliance with its covenants, and completion of the diligence process in Section 2 without an identified material concern remaining unresolved. The Seller’s obligation is subject to the Buyer’s material compliance with its covenants and payment of the purchase price. A party may waive a condition to its own obligation in writing.</w:t>
        <w:br/>
        <w:t>7. Indemnification. Following Closing, each party shall indemnify the other for losses arising from its breach of this Agreement, subject to customary procedures for notice, defense and mitigation. Claims for breaches of general representations must be made within 18 months after Closing; liability for those claims shall be subject to an aggregate cap of 10% of the purchase price and a deductible basket of 1% of the purchase price. Those limitations shall not apply to fraud or breaches of fundamental representations concerning authority, ownership of the Shares or title to the Shares. The parties will include customary provisions preventing double recovery.</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