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Subject to satisfactory completion of the Buyer’s diligence and agreement on definitive transaction terms, the Buyer shall pay the Seller USD 41,000,000 for the Shares at Closing.</w:t>
      </w:r>
    </w:p>
    <w:p>
      <w:r>
        <w:t>2. Closing. Closing shall occur within 30 days after signing this Agreement, provided that the conditions in this Section have been satisfied or waived by the party entitled to their benefit. If they have not, Closing shall occur within five business days after their satisfaction or waiver, at a time and place agreed by the parties. Each party’s obligation to close is subject to the other party’s material performance of its pre-closing obligations, the accuracy in all material respects of the other party’s representations at Closing (subject to any qualifications in those representations), and the absence of any order prohibiting the transaction. Closing is also subject to receipt of any consents or approvals identified as required in the definitive transaction documents. The parties will agree in those documents on an outside date and any further transaction-specific conditions.</w:t>
      </w:r>
    </w:p>
    <w:p>
      <w:r>
        <w:t>3. Representations; Disclosure Schedules; Remedies. The Seller shall make customary representations concerning its authority, ownership of the Shares, and the Company’s financial statements, liabilities, compliance with law, material contracts, and litigation, in each case subject to negotiated materiality, knowledge, and other qualifications and the disclosure schedules delivered with the definitive transaction documents. The Buyer shall make customary representations concerning its authority, ability to pay the purchase price, and absence of conflicts. Before Closing, a party shall notify the other of any material breach of its representations or covenants of which it becomes aware. The definitive transaction documents shall provide customary remedies for breaches, including termination rights before Closing and, after Closing, indemnification subject to negotiated survival periods, limitations, and procedures; neither party waives any remedy by considering this draft.</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