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40,000,000 for the Shares, subject to a customary adjustment for closing cash, indebtedness and normalized working capital, with the definitions, target and calculation procedures to be agreed in the definitive agreement.</w:t>
      </w:r>
    </w:p>
    <w:p>
      <w:r>
        <w:t>2. Diligence and Closing. The Seller shall provide reasonable access to financial and business diligence materials, subject to confidentiality and appropriate access protocols. Closing shall occur on a mutually agreed date following completion of diligence, satisfaction or waiver of the agreed closing conditions, and receipt of required approvals. The parties shall seek to agree a practical timetable promptly.</w:t>
      </w:r>
    </w:p>
    <w:p>
      <w:r>
        <w:t>3. Representations and Buyer Protections. The definitive agreement shall contain customary, appropriately qualified representations and warranties concerning the financial statements and the business, accompanied by disclosure schedules, together with negotiated closing conditions and indemnification provisions, including agreed limitations, procedures and survival periods. No representation concerning the financial statements is made by this draft pending agreement on those terms and review of the supporting materials.</w:t>
      </w:r>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