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43,000,000 for the Shares, by wire transfer of immediately available funds to an account designated by the Seller.</w:t>
      </w:r>
    </w:p>
    <w:p>
      <w:r>
        <w:t>2. Closing. Closing shall occur on a mutually agreed date no later than 45 days after signing, subject to receipt of required approvals and satisfaction or waiver of customary closing conditions, including the accuracy of the parties’ representations in all material respects and performance of their pre-closing covenants in all material respects. The parties will work in good faith to complete the Buyer’s due diligence before signing; completion of due diligence will not be a separate post-signing closing condition.</w:t>
      </w:r>
    </w:p>
    <w:p>
      <w:r>
        <w:t>3. Seller Representations, Schedules, Covenants and Indemnification. Subject to the disclosure schedules delivered with this Agreement, the Seller represents and warrants as of signing and Closing as to its authority to enter into and perform this Agreement, its ownership of and title to the Shares, the Company’s organization and capitalization, the financial statements being accurate in all material respects, and customary matters concerning material contracts, compliance with law, litigation, taxes, employees, and intellectual property, in each case with customary materiality and knowledge qualifications where appropriate. From signing until Closing, the Seller shall cause the Company to operate in the ordinary course consistent with past practice and shall not cause it to take material actions outside the ordinary course without the Buyer’s consent, not to be unreasonably withheld, conditioned, or delayed, subject to agreed exceptions in the disclosure schedules. Following Closing, the Seller shall indemnify the Buyer for losses arising from breaches of the Seller’s representations, warranties, or covenants, subject to customary survival periods, a deductible, a liability cap, mitigation and no-double-recovery provisions, and agreed exceptions for fundamental representations, fraud, and intentional breach. The parties will agree the detailed schedules and indemnification thresholds before signing.</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