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Subject to satisfaction or waiver of the closing conditions in Section 6, Closing shall occur within 30 days after completion of the Buyer’s due diligence and receipt of all required approvals, on a date mutually agreed by the parties.</w:t>
      </w:r>
    </w:p>
    <w:p>
      <w:r>
        <w:t>3. Seller Representations and Warranties. Subject to the disclosure schedules delivered by the Seller, the Seller represents and warrants as of signing and Closing as to its authority, ownership of the Shares, the Company’s organization and capitalization, financial statements, material contracts, compliance with law, litigation, taxes, and absence of undisclosed material liabilities, in each case subject to qualifications and limitations to be agreed in the definitive agreement.</w:t>
      </w:r>
    </w:p>
    <w:p>
      <w:r>
        <w:t>4. Disclosure Schedules. The Seller shall deliver disclosure schedules identifying exceptions to the representations and warranties in Section 3. The parties will agree the form and scope of those schedules before signing the definitive agreement.</w:t>
        <w:br/>
        <w:br/>
        <w:t>5. Indemnification. Following Closing, the Seller shall indemnify the Buyer for losses arising from breaches of the Seller’s representations, warranties, and covenants, subject to survival periods, a deductible, a cap, and other customary limitations to be agreed by the parties.</w:t>
        <w:br/>
        <w:br/>
        <w:t>6. Closing Conditions. Each party’s obligation to close is subject to execution of a mutually acceptable definitive agreement and receipt of required approvals. The Buyer’s obligation is also subject to satisfactory completion of due diligence and the Seller’s representations and warranties being true at Closing, subject to agreed materiality standards.</w:t>
        <w:br/>
        <w:br/>
        <w:t>7.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Seller confidential reservation price">
    <vt:lpwstr xmlns:vt="http://schemas.openxmlformats.org/officeDocument/2006/docPropsVTypes">USD 33,500,000</vt:lpwstr>
  </property>
</Properties>
</file>