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Conditions. Closing shall occur within 30 days after signing, subject to any agreed extensions and to the satisfaction or waiver of the following conditions: required regulatory approvals; absence of an order prohibiting Closing; accuracy of the Seller's representations and warranties as of Closing, subject to agreed materiality qualifications; and the Seller's material compliance with its pre-closing covenants. Any Buyer due-diligence condition remains subject to further agreement.</w:t>
      </w:r>
    </w:p>
    <w:p>
      <w:r>
        <w:t>3. Seller Representations and Warranties; Disclosure Schedules. Subject to the disclosure schedules delivered with this Agreement, the Seller represents and warrants as to its authority and ownership of the Shares; the Company's organization and capitalization; material contracts, assets, liabilities, taxes, litigation, compliance with law, employees, and intellectual property; and the financial statements. The financial statements delivered to the Buyer are complete in all material respects, have been prepared in accordance with [accounting standard to be agreed], consistently applied except as disclosed in their notes, and fairly present, in all material respects, the Company's financial position and results for the periods presented. The parties will agree the applicable dates, knowledge and materiality qualifications, and schedule-update procedures.</w:t>
      </w:r>
    </w:p>
    <w:p>
      <w:r>
        <w:t>4. Confidentiality; Pre-Closing Covenants; Adjustments; Indemnification. The terms of this Agreement are confidential, subject to customary exceptions for advisers, financing sources, legal requirements, and disclosures agreed by the parties. Before Closing, the Seller shall cause the Company to operate in the ordinary course, preserve its business, and provide the Buyer reasonable access to information, in each case subject to agreed exceptions and confidentiality protections. Any working-capital or debt adjustment shall apply only if agreed in writing; the parties shall then specify the definitions, target, accounting principles, estimated and final calculations, objection process, and independent-accountant resolution procedure. Following Closing, each party shall indemnify the other for breaches of its representations, warranties, and covenants, subject to survival periods, thresholds, caps, exclusions, and claims procedures to be agreed.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