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45,000,000 for the Shares, by wire transfer of immediately available funds.</w:t>
      </w:r>
    </w:p>
    <w:p>
      <w:r>
        <w:t>2. Closing and Conditions. Closing shall occur within 30 days after signing, subject to satisfaction or waiver of the conditions in this Section. Each party’s obligation to close is conditioned on the other party’s representations being true in all material respects at Closing, its performance in all material respects of its pre-Closing obligations, and the absence of any law or order prohibiting Closing. The Buyer’s obligation is also conditioned on delivery of the Shares and the Seller’s customary closing certificates; the Seller’s obligation is conditioned on receipt of the Purchase Price. The parties shall cooperate in good faith to satisfy the conditions promptly. Any condition may be waived only in writing by the party for whose benefit it exists.</w:t>
      </w:r>
    </w:p>
    <w:p>
      <w:r>
        <w:t>3. Representations, Disclosure Schedules and Indemnification. Except as specifically disclosed in schedules delivered with and forming part of this Agreement, the Seller represents that: (a) it has authority to enter into and perform this Agreement and owns the Shares free of liens; (b) the Company’s financial statements fairly present, in all material respects, its financial condition and results of operations for the periods covered, in accordance with the accounting principles stated in those statements; and (c) the Company has conducted its business in material compliance with applicable law and has disclosed in the schedules material litigation, material contracts, and material liabilities not reflected in the financial statements. The Buyer represents that it has authority to enter into and perform this Agreement and has funds available to pay the Purchase Price. Each party shall indemnify the other for losses arising from its breach of a representation, warranty or covenant, subject to a 12-month claim period after Closing, a USD 250,000 aggregate deductible and an aggregate cap equal to 10% of the Purchase Price; the cap and deductible do not apply to fraud or breaches of authority, title to the Shares or the obligation to pay the Purchase Price. The parties shall provide prompt notice of claims and a reasonable opportunity for the indemnifying party to defend third-party claims.</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