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subject to any working-capital and debt adjustments agreed in writing by the parties before signing. The parties will agree a measurement date, accounting principles, target working capital, estimated closing statement, and post-closing true-up procedure.</w:t>
      </w:r>
    </w:p>
    <w:p>
      <w:r>
        <w:t>2. Closing. Closing shall occur within 30 days of signing, subject to completion of the agreed due diligence process, receipt of required approvals, and satisfaction or waiver of customary closing conditions, including the accuracy of the parties’ representations in all material respects and performance of their pre-closing covenants.</w:t>
      </w:r>
    </w:p>
    <w:p>
      <w:r>
        <w:t>3. Representations and Disclosure Schedules. Subject to the disclosure schedules to be agreed, the Seller shall give customary representations concerning its authority, ownership of the Shares, the Company’s organization, financial statements, material contracts, compliance with law, taxes, litigation, and absence of undisclosed material liabilities. The scope, qualifications, and survival of those representations remain subject to negotiation.</w:t>
      </w:r>
    </w:p>
    <w:p>
      <w:r>
        <w:t>4. Confidentiality and Indemnification. The terms of this Agreement and information exchanged in diligence are confidential, subject to customary exceptions. The parties will negotiate customary indemnification provisions, including procedures for claims and appropriate limitations on 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Seller reservation price">
    <vt:lpwstr xmlns:vt="http://schemas.openxmlformats.org/officeDocument/2006/docPropsVTypes">USD 28,500,000</vt:lpwstr>
  </property>
</Properties>
</file>