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payable in full at Closing by wire transfer of immediately available funds to an account designated by the Seller, without set-off or deduction except as required by applicable law.</w:t>
      </w:r>
    </w:p>
    <w:p>
      <w:r>
        <w:t>2. Closing. Closing shall occur within 30 days of signing on a date agreed by the parties, subject to receipt of any mandatory regulatory approvals, or on such other date as the parties agree in writing. The Buyer's obligation to complete the purchase shall not be conditional upon obtaining financing.</w:t>
      </w:r>
    </w:p>
    <w:p>
      <w:r>
        <w:t>3. Representations. Except as fairly disclosed in the disclosure schedule delivered by the Seller to the Buyer at signing, the Seller represents that the financial statements provided to the Buyer fairly present, in all material respects, the financial position and results of operations of the Company as of the dates and for the periods covered, in accordance with the accounting principles consistently applied in their preparation.</w:t>
      </w:r>
    </w:p>
    <w:p>
      <w:r>
        <w:t>4. Confidentiality. Each party shall keep confidential the terms of this Agreement and the negotiations relating to it, except for disclosures required by applicable law or to its professional advisers, financing sources, or representatives who need to know such information and are subject to confidentiality obligations. Neither party shall make a public announcement concerning the transaction without the other's prior written consent, except as required by applicable law.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