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purchase price for the Shares is USD 40,000,000 on a cash-free, debt-free basis with a normalized level of working capital. The purchase price shall be increased by Closing Cash and reduced by Closing Debt and unpaid Company transaction expenses, and increased or reduced by the amount by which Closing Working Capital exceeds or falls short of the agreed normalized working-capital target. Definitions, the target and an illustrative calculation shall be agreed in a schedule before signing, without double counting any item. Calculations shall follow the specific accounting policies agreed in that schedule and, to the extent not addressed there, the accounting framework identified in clause 3, consistently applied. The Seller shall provide a good-faith estimated closing statement at least five Business Days before Closing. At Closing, the Buyer shall pay the estimated adjusted purchase price, less the escrow amount under clause 5, by wire transfer of immediately available funds to the Seller's designated account, without set-off or deduction except as required by law. The Buyer shall deliver a proposed final closing statement within 60 days after Closing, with reasonable supporting records and access for the Seller. The Seller shall have 30 days to object in reasonable detail; unchallenged items shall become final. Unresolved accounting disputes remaining after 20 Business Days of good-faith discussions shall be referred to an independent accounting firm jointly appointed by the parties, acting as expert and not arbitrator, limited to disputed items and the parties' respective proposed amounts. Its determination shall be final absent manifest error, with costs allocated in proportion to each party's lack of success. Any resulting payment shall be made within five Business Days after final determination.</w:t>
      </w:r>
    </w:p>
    <w:p>
      <w:r>
        <w:t>2. Closing. Closing shall occur on a mutually agreed date no later than 30 days after satisfaction or lawful waiver of the closing conditions, other than conditions to be satisfied at Closing, subject to their satisfaction or waiver at Closing. Each party's obligation to close shall be subject to receipt of required regulatory and other mandatory approvals and absence of any legal prohibition. The Buyer's obligation shall also be subject to the Seller's representations being accurate at Closing, except for inaccuracies that, taken together, would not constitute a Material Adverse Effect, with fundamental representations accurate in all material respects; the Seller's material performance of its pre-Closing covenants; and absence of a Material Adverse Effect since signing. The Seller's obligation shall also be subject to the Buyer's representations being accurate in all material respects and its material performance of pre-Closing covenants, including payment at Closing. For these purposes, Material Adverse Effect means a material adverse effect on the business, assets or financial condition of the Company taken as a whole, excluding general economic, market, industry, political or legal developments, changes in accounting standards, and effects of announcement of the transaction, except that general developments may be considered to the extent they disproportionately affect the Company relative to comparable businesses. The outside date shall be 120 days after signing, automatically extended once by 60 days if only mandatory regulatory approvals and conditions capable of satisfaction at Closing remain outstanding. Either party may terminate after the outside date if Closing has not occurred, unless its own material breach caused the failure to close. The parties shall use reasonable best efforts to obtain required approvals and satisfy their respective conditions. Diligence shall be completed before signing; no discretionary diligence condition shall apply after signing. Buyer's funding arrangements and any proposed financing-related terms remain to be agreed before signing; deletion of the prior no-financing sentence does not create a financing condition.</w:t>
      </w:r>
    </w:p>
    <w:p>
      <w:r>
        <w:t>3. Representations and Disclosure. The Seller shall provide the proposed disclosure schedule and supporting financial information sufficiently before signing to permit reasonable review by the Buyer. Except as specifically and fairly disclosed in that schedule in sufficient detail to permit a reasonable assessment of the nature and scope of the relevant exception, the Seller represents that the financial statements identified in the schedule fairly present, in all material respects, the Company's financial position and results of operations as of the dates and for the periods covered, in accordance with [US GAAP—subject to confirmation against the Company's actual reporting framework before signing], consistently applied. Any permitted departures, including treatment of unaudited interim statements, shall be expressly identified and agreed before signing. Disclosures shall identify the representation qualified; cross-disclosure shall apply only where its relevance to another representation is reasonably apparent on its face. Mere delivery of documents or access to a data room shall not itself constitute disclosure. The definitive agreement shall include customary, specifically negotiated representations of the Seller and Buyer, including title, authority and capacity representations.</w:t>
      </w:r>
    </w:p>
    <w:p>
      <w:r>
        <w:t>5. Indemnification, Survival and Escrow. At Closing, 5% of the base purchase price shall be deposited with an independent escrow agent under a mutually agreed escrow agreement to secure the Seller's indemnification obligations, with the balance paid to the Seller. The Seller shall indemnify the Buyer for actual losses resulting from breaches of the Seller's representations or covenants, subject to the following limitations. General representations shall survive for 18 months after Closing; fundamental representations concerning title, authority and capacity shall survive for six years; tax representations shall survive until 60 days after expiry of the applicable statutory limitation period. Pre-Closing covenants shall survive for 18 months; post-Closing covenants shall survive for their stated terms. General representation claims shall be subject to a USD 25,000 per-claim threshold, with related claims aggregated, and a deductible basket equal to 1% of the base purchase price; the Seller's aggregate liability for such claims shall not exceed 10% of the base purchase price. Fundamental and tax representation claims and covenant claims shall not be subject to that basket or general cap, but the Seller's aggregate liability under this Agreement shall not exceed the purchase price actually received, including escrow amounts subsequently released to the Seller. These limitations shall not limit liability for the Seller's own actual fraud. Recoverable losses shall exclude punitive damages, except where payable to a third party, and duplicative recovery, and shall be reduced by insurance proceeds and other third-party recoveries actually received, net of reasonable recovery costs. The Buyer shall mitigate losses as required by law. Claims shall be notified before expiry of the applicable survival period with reasonable particulars of the basis and estimated amount, if ascertainable; timely notified claims shall survive until resolved. For third-party claims, the indemnifying party may assume the defense with reasonably acceptable counsel, subject to conflict-of-interest and non-monetary relief safeguards; no settlement admitting fault of or imposing an obligation on the indemnified party may be entered without its reasonable consent. At 18 months after Closing, the escrow balance shall be released to the Seller, less amounts reasonably reserved for specifically notified unresolved claims; reserved amounts shall be released promptly upon resolution. Escrow shall be the first source of recovery for covered claims, without increasing the applicable liability limits. Except for actual fraud, purchase-price adjustment rights and equitable remedies, the negotiated indemnification regime shall be the exclusive post-Closing remedy for breaches. The definitive agreement shall also provide reciprocal Buyer indemnification for breaches of its representations and covenants, including its payment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