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full at Closing by wire transfer of immediately available funds to an account designated by the Seller, without set-off or deduction except as required by applicable law.</w:t>
      </w:r>
    </w:p>
    <w:p>
      <w:r>
        <w:t>2. Closing. Closing shall occur within 30 days of signing on a date agreed by the parties, subject to receipt of any required regulatory approvals, or on such other date as the parties agree in writing. Transfer of the Shares and payment of the Purchase Price shall occur simultaneously.</w:t>
      </w:r>
    </w:p>
    <w:p>
      <w:r>
        <w:t>3. Representations. Subject to matters fairly disclosed in the disclosure schedule delivered by the Seller at signing, the Seller represents that the financial statements delivered to the Buyer have been prepared in accordance with applicable accounting standards consistently applied and fairly present, in all material respects, the financial position and results of operations of the Company for the periods to which they relate.</w:t>
      </w:r>
    </w:p>
    <w:p>
      <w:r>
        <w:t>4. Confidentiality. Each party shall keep the terms of this Agreement and the negotiations relating to it confidential, except for disclosures required by law or regulation or made to its professional advisers, financing sources or representatives who need to know such information and are subject to confidentiality obligations. Neither party shall make a public announcement concerning the transaction without the other party's prior written consent, except as required by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