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40,000,000 on a cash-free, debt-free basis and assuming an agreed normal level of working capital, subject to Seller and Buyer approval and definitive documentation. The definitive agreement shall specify the definitions of cash, debt, debt-like items and working capital, the working-capital target, applicable accounting principles and illustrative calculations, without double counting. It shall provide for estimated adjustments at Closing and a post-Closing true-up, with agreed preparation and review periods, access to supporting records and resolution of disputed accounting items by an independent accountant. The amount payable at Closing shall be paid by wire transfer of immediately available funds to an account designated by the Seller, without set-off or deduction except withholding required by applicable law and any expressly agreed escrow or holdback. Any escrow or holdback, including its amount, purpose, duration and release mechanics, remains subject to express agreement and shall not be presumed. The Buyer shall provide reasonable advance notice of any required withholding, cooperate in obtaining available exemptions or reductions, timely remit withheld amounts to the relevant authority and provide evidence of remittance; amounts so remitted shall be treated as paid to the Seller.</w:t>
      </w:r>
    </w:p>
    <w:p>
      <w:r>
        <w:t>2. Closing. The parties shall work toward prompt completion of diligence and negotiation of satisfactory definitive documentation, with diligence to be completed before signing. Closing shall occur on a mutually agreed date following satisfaction or waiver, where legally permissible, of the expressly agreed closing conditions, including required regulatory and other agreed third-party approvals. The definitive agreement shall specify objective closing conditions, appropriate efforts covenants, an agreed long-stop date and termination rights; it shall not provide an open-ended post-signing diligence condition. No unconditional 30-day Closing obligation is imposed. Transfer of the Shares and payment of the amount due at Closing shall occur simultaneously.</w:t>
      </w:r>
    </w:p>
    <w:p>
      <w:r>
        <w:t>3. Representations, Covenants and Indemnification. The definitive agreement shall contain negotiated Seller representations concerning title to the Shares, authority, capitalization, financial statements, undisclosed liabilities, tax, material contracts, litigation and compliance with applicable law. The financial-statement representation shall address preparation in accordance with applicable accounting standards consistently applied and fair presentation, in all material respects, of the Company's financial position and results for the relevant periods. Representations shall be subject to appropriate scope, materiality and knowledge qualifications and matters fairly disclosed with sufficient detail to identify their nature and scope in disclosure schedules delivered at signing; cross-disclosure shall apply where relevance is reasonably apparent. The definitive agreement shall also include customary interim ordinary-course operating covenants, with agreed exceptions and Buyer consent not to be unreasonably withheld, conditioned or delayed. Indemnification remains subject to agreement on survival periods, de minimis thresholds, a basket, caps, claims procedures and appropriate distinct treatment of fundamental and tax matters. Protections shall include mitigation, no double recovery, credit for insurance proceeds actually received net of recovery costs, and an exclusive contractual remedy for covered claims, with an appropriately defined fraud exception. No unlimited liability, escrow or holdback is agreed by this draft.</w:t>
      </w:r>
    </w:p>
    <w:p>
      <w:r>
        <w:t>4. Confidentiality. Each party shall keep the terms of this Agreement, the negotiations relating to it and nonpublic transaction information received from the other party confidential, except for disclosures required by law or regulation or made to its professional advisers, representatives, prospective financing sources and their respective advisers who need to know such information for evaluating, financing or implementing the transaction and are subject to appropriate confidentiality obligations, including applicable professional duties. Each party shall be responsible for compliance by its permitted recipients, other than recipients bound by separate confidentiality undertakings directly enforceable by the disclosing party. Where legally permitted, a party making a legally required disclosure shall give reasonable advance notice and cooperate in seeking confidential treatment. Neither party shall make a public announcement concerning the transaction without the other party's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