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Adjustments. The proposed enterprise value for the Company is USD 40,000,000 on a cash-free, debt-free basis with a normalized level of working capital. The purchase price for the Shares shall equal that enterprise value plus Closing Cash, less Closing Debt and unpaid Company Transaction Expenses, and plus or minus the amount by which Closing Working Capital exceeds or falls short of the agreed normalized working-capital target. Definitions, the target and a worked example shall be agreed and scheduled before signing; no item shall be counted more than once. Completion accounts shall follow the specifically agreed accounting policies, then the accounting framework specified in clause 3, consistently applied, without purchase-accounting adjustments or changes arising from Buyer's post-Closing actions. Seller shall deliver a good-faith estimated closing statement at least five Business Days before Closing. Buyer shall pay the estimated price at Closing by wire transfer of immediately available funds, less the escrow amount. Buyer shall deliver completion accounts within 60 days after Closing; Seller shall have 30 days to review and object, with reasonable access to supporting records and personnel. Absent timely delivery by Buyer, Seller's estimate shall become final; absent timely objection by Seller, Buyer's statement shall become final. Unresolved accounting disputes remaining after 20 Business Days of discussion shall be referred to an independent accountant jointly appointed by the parties, acting as expert and not arbitrator, confined to disputed items and the parties' respective positions. An agreed professional appointing body shall appoint the expert if the parties cannot agree. The determination shall be final absent manifest error or fraud, with costs allocated by relative success. Final adjustment payments shall be made within five Business Days after determination. Five percent of the estimated purchase price shall be held by an independent escrow agent for 12 months after Closing to secure agreed adjustment and indemnity obligations, with early release of any amount no longer reasonably required and retention only of amounts reasonably attributable to timely notified unresolved claims. Escrow disbursements require joint written instructions or a final binding determination. No unilateral set-off or withholding is permitted, except deductions required by law and payments expressly authorized under the agreed adjustment, escrow and recovery provisions.</w:t>
      </w:r>
    </w:p>
    <w:p>
      <w:r>
        <w:t>2. Signing and Closing. Diligence, agreement on valuation and accounting schedules, and each party's internal approvals shall be completed before execution of definitive documentation and shall not constitute discretionary post-signing closing conditions. Closing shall occur within five Business Days after satisfaction or lawful waiver of the agreed closing conditions, on a date agreed in writing. Conditions shall comprise required regulatory and specifically identified material third-party approvals; absence of any legal prohibition; accuracy of fundamental representations in all material respects and of other representations except for inaccuracies that, taken together, would not be materially adverse to the Company; and performance in all material respects of pre-Closing covenants. Conditions for a party's benefit may be waived by that party to the extent lawful. Each party shall use reasonable best efforts to satisfy applicable conditions and may not rely on a failure it caused by breach. The long-stop date shall be specified by agreement before signing, with any mandatory regulatory extension expressly agreed. If Closing has not occurred by that date, either non-defaulting party may terminate by written notice, without prejudice to accrued rights for breach and surviving confidentiality obligations. At Closing, Seller shall deliver duly executed share transfers, share certificates or agreed replacement evidence, evidence of authority and agreed resignations and releases of security over the Shares; Buyer shall deliver the closing payment, executed escrow documentation and evidence of authority. Each party shall deliver an appropriate certificate confirming satisfaction of its representation and covenant conditions. Transfer of the Shares and payment shall occur simultaneously.</w:t>
      </w:r>
    </w:p>
    <w:p>
      <w:r>
        <w:t>3. Representations; Covenants; Remedies. Except as fairly disclosed with sufficient detail to identify the nature and scope of the relevant matter in the agreed disclosure schedule, Seller shall represent at signing and Closing that: it owns and can transfer the Shares free of encumbrances; it has authority to enter into and perform the Agreement; the scheduled capitalization accurately states the Company's issued shares and outstanding equity rights; and the scheduled financial statements fairly present, in all material respects, the Company's financial position and results under the expressly identified accounting framework, consistently applied. The framework (US GAAP or IFRS, as applicable to the Company's accounts), statement dates and statements covered shall be specified before signing. Unaudited statements may be subject only to nonmaterial normal year-end adjustments and specifically scheduled omissions of notes. Seller shall also give customary, appropriately scoped representations concerning tax filings and payments, undisclosed material liabilities, material litigation, compliance with applicable laws and material contracts, with agreed materiality and actual-knowledge qualifications where appropriate. Knowledge shall mean the actual knowledge, after reasonable inquiry of direct reports, of specified Seller representatives. General references to prior correspondence or the data room shall not qualify representations. Buyer shall give customary authority, enforceability and availability-of-funds representations; financing shall not be a closing condition. From signing to Closing, Seller shall procure that the Company operates in the ordinary course, preserves its business in all material respects, and does not make distributions, issue securities, incur material extraordinary debt or enter into material non-ordinary-course transactions without Buyer's consent, not to be unreasonably withheld, conditioned or delayed, subject to agreed thresholds, scheduled actions and applicable law. Buyer shall receive reasonable access on notice, subject to confidentiality, privilege and noninterference safeguards. Seller shall indemnify Buyer for direct losses from breaches of Seller's representations and covenants, subject to mitigation, no double recovery, credit for insurance and other recoveries net of recovery costs, and appropriate control of third-party claims. General representation claims must be notified with reasonable detail within 12 months after Closing and shall be subject to a USD 50,000 per-claim threshold, a deductible aggregate basket of one percent of the final purchase price and an aggregate cap of ten percent of that price. Title, authority and capitalization claims shall survive for three years and be capped at the final purchase price; tax claims shall survive until 60 days after expiry of the applicable statutory limitation period and be capped at the final purchase price. Covenant claims shall survive for 12 months after the applicable performance date and be subject to the general cap unless expressly agreed otherwise. Claims timely notified survive until resolved. All Seller liability in aggregate shall not exceed the final purchase price, except liability for Seller's own fraud, for which no contractual limitation shall apply. There shall be no recovery for matters fairly disclosed or expressly reflected in the final price adjustment. Indemnification shall be the exclusive post-Closing monetary remedy for matters covered, except Seller's own fraud and enforcement of payment obligations; appropriate specific performance remains available. No consequential, punitive or multiple-based damages shall be recoverable except amounts payable to third parties under covered claims. Any specific indemnities shall be separately negotiated for identified diligence matters.</w:t>
      </w:r>
    </w:p>
    <w:p>
      <w:r>
        <w:t>4. Confidentiality. Each party shall keep confidential the existence and terms of the proposed transaction and all nonpublic information received from the other party or the Company in connection with it, including diligence information, and shall use such information solely to evaluate, negotiate and implement the transaction. Disclosure is permitted to professional advisers, financing sources and representatives who need to know and are bound by confidentiality obligations or professional duties at least as protective as these provisions; each party shall ensure its permitted recipients comply and shall be responsible for their breaches. Confidential information excludes information demonstrably public other than through breach, already lawfully known without restriction, lawfully obtained from a third party without confidentiality restriction, or independently developed without use of protected information. Disclosures required by law, regulation or competent authority are permitted, provided the disclosing party, to the extent legally permitted, gives prior notice, reasonably cooperates in seeking protection and discloses only what is required. On request following termination of discussions, each party shall return or destroy protected information, subject to legally required retention, professional recordkeeping and routine inaccessible backups, which remain protected. Neither party shall make a public announcement without the other's prior written consent except as legally required. Any existing confidentiality agreement remains effective; no provision here reduces its protections.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