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full at Closing by wire transfer of immediately available funds to an account designated by the Seller, without set-off or deduction except as required by law.</w:t>
      </w:r>
    </w:p>
    <w:p>
      <w:r>
        <w:t>2. Closing. Closing shall occur within 30 days of signing, subject to satisfaction or waiver by the party entitled to its benefit of the closing conditions expressly set out in this Agreement. The Buyer's obligation to complete the purchase shall not be subject to obtaining financing.</w:t>
      </w:r>
    </w:p>
    <w:p>
      <w:r>
        <w:t>3. Representations. Except as disclosed in the disclosure schedules delivered by the Seller at signing, the Seller represents that the financial statements delivered to the Buyer fairly present, in all material respects, the financial position and results of operations of the Company as of their respective dates and for the periods covered, in accordance with the accounting principles identified in those statements, consistently applied, subject, in the case of unaudited statements, to normal year-end adjustments and the absence of footnotes.</w:t>
      </w:r>
    </w:p>
    <w:p>
      <w:r>
        <w:t>4. Confidentiality. Each party shall keep confidential the terms of this Agreement and the negotiations relating to it, except for disclosures required by applicable law or to its professional advisers, financing sources, and representatives who need to know such information and are bound by confidentiality obligations. No public announcement concerning the transaction shall be made without the other party's prior written consent, except as required by applicable law, in which case the announcing party shall, to the extent legally permitted, consult the other party in advance.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