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and Adjustments. The proposed enterprise value for the Shares is USD 40,000,000 on a cash-free, debt-free basis, assuming delivery of an agreed normalized level of working capital. The equity purchase price shall equal that enterprise value, plus Company cash, less Company indebtedness and unpaid Seller transaction expenses payable by the Company, and increased or decreased by the amount by which completion working capital exceeds or falls short of the agreed target. Definitions, the target and a sample calculation shall be agreed before signing, using consistent accounting policies and excluding double counting among cash, indebtedness, working capital and transaction expenses. At Closing, the Buyer shall pay the estimated equity purchase price by wire transfer of immediately available funds to the Seller's designated account, less an indemnity escrow equal to 5% of that estimated price deposited with an independent escrow agent under agreed terms. There shall be no other holdback, set-off or deduction except as required by law or expressly agreed. The Buyer shall deliver completion accounts within 60 days after Closing; the Seller shall have 30 days to review and object, with reasonable access to supporting records. Unresolved accounting disputes shall be determined by an independent accountant acting as expert within the scope of the disputed items, and any resulting payment shall be made promptly following final determination. From signing until Closing, no distributions or other transfers of value to the Seller or its affiliates shall be permitted except expressly scheduled permitted payments; any unauthorized transfer shall be reimbursed dollar for dollar to the extent not already reflected in the price adjustment or otherwise recovered. No locked-box leakage recovery shall duplicate completion-account adjustments.</w:t>
      </w:r>
    </w:p>
    <w:p>
      <w:r>
        <w:t>2. Signing and Closing. The parties shall agree a timetable for completion of due diligence, financing arrangements, disclosure schedules and definitive documentation before signing. Closing shall occur on the fifth Business Day following satisfaction or waiver by the entitled party of the agreed closing conditions, or on another mutually agreed date. Conditions shall include required regulatory approvals and specifically identified material third-party consents, absence of any legal prohibition, material compliance with pre-Closing covenants, and accuracy of representations at signing and Closing, subject to agreed materiality standards appropriate to the representations and without duplicative materiality qualifications. There shall be no general satisfactory-diligence or financing condition in the definitive agreement. The Buyer shall provide satisfactory evidence of available funds or binding financing commitments before signing and shall use reasonable best efforts to obtain and maintain its financing. Any proposed exception must be specifically negotiated before signing, including objective conditions, a fixed deadline and appropriate Seller protection. The parties shall cooperate and use reasonable best efforts to obtain required approvals and consents. A mutually agreed outside date and termination provisions shall be included in the definitive agreement.</w:t>
      </w:r>
    </w:p>
    <w:p>
      <w:r>
        <w:t>3. Representations, Disclosure, Covenants and Indemnification. The definitive agreement shall contain customary Seller representations, appropriately qualified by materiality, knowledge where appropriate, and disclosure, concerning capacity and authority, title to the Shares, Company organization and capitalization, financial statements, undisclosed liabilities, taxes, material contracts, litigation, compliance with law, permits, employment and benefits, intellectual property, data protection, material assets and environmental matters. The financial statements representation shall address fair presentation in all material respects under the accounting principles identified in the statements, consistently applied, with customary qualifications for unaudited statements. Complete disclosure schedules shall be provided sufficiently before signing to permit reasonable Buyer review and agreed in connection with signing; no unilateral post-signing disclosure shall cure an existing breach. The Buyer shall provide customary representations concerning authority, enforceability, funds and investment capacity. Between signing and Closing, the Seller shall procure operation of the Company in the ordinary course in all material respects and, except as disclosed, expressly permitted or required by law, no distributions, material commitments outside the ordinary course, material asset disposals or material new indebtedness without the Buyer's consent, not to be unreasonably withheld, conditioned or delayed. Reasonable access to relevant records, personnel and premises shall be provided on reasonable notice during business hours, subject to confidentiality, legal privilege, applicable law and non-interference with operations; no contact with employees, customers or suppliers without prior Seller consent. The definitive agreement shall provide reciprocal indemnities for breaches of representations and covenants. Seller liability for general representations shall survive for 18 months, be subject to a deductible basket of 1% of the final equity purchase price and an aggregate cap of 10% of that price. Fundamental representations concerning authority, title and capitalization shall survive for six years and be capped at the final equity purchase price; tax claims shall survive until 60 days after expiry of the applicable statutory limitation period, with tax liability also capped at that price. Covenant claims shall survive for 12 months following the agreed performance date, subject to an aggregate cap equal to that price. Total Seller liability shall not exceed the final equity purchase price, except for the Seller's own fraud, for which no contractual limitation shall apply. Recovery shall exclude duplicative recovery and amounts reflected in the price adjustments, and shall be reduced by insurance proceeds and tax benefits actually realized, net of reasonable recovery costs; the claimant shall reasonably mitigate losses. Indemnification shall be the exclusive monetary remedy after Closing, except for the Seller's own fraud and enforcement of payment and completion-adjustment obligations. The indemnity escrow shall secure Seller claims liabilities under these provisions, shall not increase the applicable caps, and shall be released 18 months after Closing except for amounts reasonably reserved for timely notified, specifically described unresolved claims; reserved amounts shall be released promptly upon resolution. Detailed claims procedures and third-party defense rights shall be agreed.</w:t>
      </w:r>
    </w:p>
    <w:p>
      <w:r>
        <w:t>4. Confidentiality. Each party shall keep confidential the terms of this Agreement, the negotiations relating to it and non-public information received in connection with the transaction, except for disclosures required by applicable law or to its professional advisers, representatives and existing or prospective debt and equity funding sources who need to know such information for the transaction and are subject to appropriate confidentiality obligations. Each party shall be responsible for breaches of those obligations by persons to whom it discloses information. No public announcement concerning the transaction shall be made without the other party's prior written consent, except as required by applicable law, in which case the announcing party shall, to the extent legally permitted, consult the other party in advance. Any existing confidentiality agreement shall remain in force.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