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the account designated by the Seller, without set-off or counterclaim.</w:t>
      </w:r>
    </w:p>
    <w:p>
      <w:r>
        <w:t>2. Closing. Closing shall occur within 30 days of signing.</w:t>
      </w:r>
    </w:p>
    <w:p>
      <w:r>
        <w:t>3. Representations. Except as disclosed in the disclosure schedules delivered by the Seller to the Buyer at signing, the Seller represents that the financial statements delivered to the Buyer fairly present, in all material respects, the financial position and results of operations of the Company as of their respective dates and for the periods covered, in accordance with the accounting principles consistently applied in their preparation, subject, in the case of unaudited financial statements, to normal year-end adjustments and the absence of footnotes.</w:t>
      </w:r>
    </w:p>
    <w:p>
      <w:r>
        <w:t>4. Confidentiality. Each party shall keep the terms of this Agreement confidential, except for disclosures required by applicable law or regulation or to its professional advisers and financing sources who are subject to duties of confidentiality. To the extent legally permitted, a party required to make disclosure shall give the other party advance notice and reasonably cooperate to limit the disclosure. Neither party shall make a public announcement regarding this Agreement without the other party's prior written consent,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