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Completion Accounts. The purchase price for the Shares shall be USD 40,000,000 on a cash-free, debt-free basis with normalized working capital (the Base Price). The price payable shall equal the Base Price plus Closing Cash, minus Closing Debt, plus the amount by which Closing Working Capital exceeds the agreed target or minus the amount of any shortfall. Before signing, the parties shall agree a schedule defining these items, the normalized working-capital target and an illustrative calculation. No item shall be counted more than once, and transaction expenses treated as Closing Debt shall not also reduce Closing Working Capital. The accounting hierarchy shall be the expressly agreed transaction-specific policies, followed by the policies consistently applied in the reference financial statements to the extent consistent with the agreed accounting framework, followed by that framework. No purchase-accounting adjustments or changes based on post-Closing events shall be made, except evidence of conditions existing at Closing.</w:t>
        <w:br/>
        <w:t>At least five Business Days before Closing, the Seller shall deliver a good-faith estimated completion statement with supporting calculations. At Closing, the Buyer shall pay the estimated adjusted price by wire transfer of immediately available funds, less the escrow described in clause 6. Within 60 days after Closing, the Buyer shall deliver proposed final completion accounts and reasonable supporting records. The Seller shall have 30 days to inspect relevant records and personnel and give a notice specifying disputed items; undisputed items shall be final. Absent timely delivery by the Buyer, the Seller's estimated statement shall become final. The parties shall seek to resolve notified disputes for 20 Business Days, after which unresolved accounting items shall be referred to an independent accounting firm jointly appointed by the parties or, failing agreement within ten Business Days, appointed on either party's request by the ICC International Centre for ADR. The accountant shall act as expert, not arbitrator, determine only the disputed items within the parties' submitted positions under the agreed policies, and give a reasoned determination binding absent manifest error or fraud. Its fees shall be allocated in proportion to each party's lack of success. Any balancing payment shall be made within five Business Days after final determination.</w:t>
        <w:br/>
        <w:t>The Buyer may withhold amounts required by applicable law, after giving the Seller reasonable advance notice where lawful and reasonable cooperation to obtain available relief, and shall promptly remit and provide evidence of payment to the relevant authority. Amounts properly withheld and remitted shall be treated as paid to the Seller. Apart from legally required withholding and the expressly agreed adjustment and escrow mechanics, no amount may be withheld or set off against the Closing payment. After Closing, set-off is permitted only for amounts agreed in writing or finally adjudicated, subject to clause 6.</w:t>
      </w:r>
    </w:p>
    <w:p>
      <w:r>
        <w:t>2. Closing and Termination. The parties shall target Closing within 30 days after signing. Closing shall take place within five Business Days after satisfaction or lawful waiver of the conditions precedent, on a mutually agreed date. Conditions shall be limited to required regulatory approvals identified before signing, absence of a legal prohibition, delivery of agreed Closing documents, performance of pre-Closing covenants in all material respects and accuracy of the representations under clause 3. Closing documents shall include duly executed share transfers, share certificates or customary indemnities for lost certificates, required corporate approvals and evidence of release of agreed security interests. The Buyer shall deliver the required funds and its authorizing resolutions. Buyer diligence, internal approvals and financing shall be completed or secured before signing and shall not be Closing conditions. Both parties shall use reasonable best efforts to obtain required approvals and satisfy the conditions within their control.</w:t>
        <w:br/>
        <w:t>The proposed long-stop date is 60 days after signing, subject to mutual written extension. Either party may terminate by written notice if Closing has not occurred by that date, unless its own material breach caused the failure to close; either may also terminate for a final, non-appealable legal prohibition. A non-breaching party may terminate for the other's material breach rendering a Closing condition incapable of satisfaction if the breach remains uncured for 15 Business Days after notice, or by the long-stop date if earlier. Termination shall not affect accrued rights for prior breach, and confidentiality and dispute-resolution obligations shall survive.</w:t>
      </w:r>
    </w:p>
    <w:p>
      <w:r>
        <w:t>3. Representations and Disclosure. Subject to exceptions fairly disclosed in sufficient detail to identify their nature and scope in disclosure schedules delivered sufficiently before signing to permit reasonable review and specifically linked to the relevant representation, the Seller represents at signing and again at Closing that: (a) it has authority to enter into and perform this Agreement and owns the Shares free of encumbrances, with power to transfer them; (b) the scheduled capitalization is accurate, the Shares constitute all issued shares of the Company, are validly issued and fully paid, and there are no outstanding rights to require further issuance; (c) the scheduled financial statements fairly present, in all material respects, the Company's financial position and results for the relevant periods in accordance with [applicable accounting framework—confirm before signing], consistently applied, with any departures specifically disclosed; unaudited statements are subject only to normal year-end adjustments that are not materially adverse individually or in aggregate and the absence of footnotes; (d) the Company has filed all material tax returns required to be filed and paid all material taxes due, except amounts contested in good faith and adequately reserved, and has disclosed material pending tax disputes; (e) the Company complies in all material respects with applicable laws and holds the material permits required for its business; (f) all material contracts are listed in the schedules and, to the Seller's knowledge, are in force without material default by any party; (g) no material litigation is pending or, to the Seller's knowledge, threatened in writing against the Company; and (h) the Company has no material liabilities required to be reflected under the agreed accounting framework other than those reflected or reserved in the financial statements, fairly disclosed in the schedules or incurred in the ordinary course since the latest balance-sheet date. Seller's knowledge means the actual knowledge of the individuals identified before signing, after reasonable inquiry of their direct reports responsible for the relevant matters.</w:t>
        <w:br/>
        <w:t>At Closing, title, authority and capitalization representations shall be accurate in all material respects, and other representations shall be accurate except for inaccuracies that, taken together, would not have a material adverse effect on the Company; representations expressly addressing a specified date shall be tested only as of that date. A material adverse effect excludes general economic, industry and market changes except to the extent disproportionately affecting the Company. The Seller shall notify the Buyer of material intervening matters; updates shall not cure a breach or qualify a Closing condition without the Buyer's written agreement.</w:t>
        <w:br/>
        <w:t>5. Interim Covenants. Until Closing, the Seller shall cause the Company to operate in the ordinary course in all material respects and use commercially reasonable efforts to preserve its business, personnel and material relationships. Without the Buyer's consent, not to be unreasonably withheld, conditioned or delayed, the Company shall not issue shares, declare distributions, incur material debt outside the ordinary course, dispose of material assets, enter into or terminate material contracts outside the ordinary course, materially change accounting policies except as required by law or the agreed framework, or enter into non-arm's-length related-party transactions. Exceptions shall cover matters expressly contemplated by this Agreement, disclosed and agreed before signing, required by law or reasonably necessary in an emergency with prompt notice. The Buyer shall receive reasonable diligence access on notice, subject to confidentiality, privilege, applicable law and non-disruption, without control over the business before Closing.</w:t>
        <w:br/>
        <w:t>6. Indemnification and Escrow. After Closing, the Seller shall indemnify the Buyer for direct losses resulting from breach of the Seller's representations or covenants, subject to the following limits. General representations shall survive for 12 months after Closing; title, authority and capitalization representations for six years; and tax representations until 60 days after expiry of the applicable statutory limitation period. Pre-Closing covenants shall survive for 12 months, and post-Closing covenants for their express duration. A timely written claim identifying the factual basis and a reasonable estimate of loss shall survive until resolved. General representation claims shall be subject to a USD 25,000 per-claim threshold, an aggregate deductible of 1% of the Base Price and an aggregate cap of 10% of the Base Price. These thresholds and the general cap shall not apply to title, authority, capitalization or tax claims, or covenant breaches, but the Seller's aggregate liability under this Agreement shall not exceed the Base Price, except for the Seller's own fraud. The Buyer shall give prompt notice of third-party claims, with delay reducing recovery only to the extent of prejudice, and permit the Seller to control the defense with competent counsel unless there is a material conflict or material non-monetary relief is sought. No settlement admitting liability of, or imposing non-monetary obligations on, the Buyer or Company may be made without the Buyer's reasonable consent.</w:t>
        <w:br/>
        <w:t>At Closing, 5% of the Base Price shall be deposited with an independent escrow agent under an agreed escrow agreement to secure indemnity claims. At 12 months after Closing, the escrow balance shall be released to the Seller, less reasonable reserves for properly notified unresolved claims; reserves shall be released promptly as claims are resolved. The escrow is security, not an additional liability cap. Recovery shall be reduced by insurance proceeds and third-party recoveries actually received, net of reasonable recovery costs, and tax benefits actually realized. The Buyer shall reasonably mitigate losses. There shall be no double recovery, including for matters already reflected in completion accounts, and no recovery for punitive damages except those payable to a third party. After Closing, this clause shall be the exclusive monetary remedy for breach, without limiting the completion-account process, specific performance or claims for the Seller's own fraud.</w:t>
      </w:r>
    </w:p>
    <w:p>
      <w:r>
        <w:t>4. Confidentiality. Each party shall keep this Agreement, its terms and non-public transaction information confidential. Disclosure is permitted to its affiliates, investment committees, prospective financing sources and their respective professional advisers and representatives only to the extent reasonably necessary for evaluating, approving, financing or implementing the transaction, provided recipients are informed of the confidential nature of the information and bound by appropriate contractual or professional confidentiality obligations. The disclosing party shall be responsible for breaches by its permitted recipients. Disclosure is also permitted to the extent required by applicable law, regulation or binding legal process. To the extent legally permitted, the party required to disclose shall give the other party advance notice and reasonably cooperate to limit disclosure, and shall disclose only what is legally required. Neither party shall make a public announcement regarding this Agreement without the other party's prior written consent, except as required by applicable law or regulation, in which case the same advance-notice and cooperation protections shall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