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purchase price for the Shares shall be USD 41,000,000, subject to mutually agreed adjustments for cash, debt, unpaid transaction expenses and normalized working capital. Before signing, the parties shall agree the definitions, accounting principles, working-capital target, illustrative calculation and completion-accounts dispute procedure, without double counting. The price shall be payable at Closing by wire transfer of immediately available funds to the account designated by the Seller in writing, except for the portion deposited into the agreed escrow under Section 3. Any diligence-related request to change the price requires the Seller’s express agreement and shall not confer a unilateral repricing right on the Buyer.</w:t>
      </w:r>
    </w:p>
    <w:p>
      <w:r>
        <w:t>2. Closing. The parties shall use commercially reasonable efforts to achieve Closing within 30 days after signing definitive documentation. This is a target only and not an unconditional obligation to close. Closing shall be subject to required regulatory and corporate approvals, delivery of agreed closing documents, and satisfaction or permitted waiver of customary closing conditions expressly specified in the definitive documentation. Buyer’s diligence and internal investment approval shall be completed before signing definitive documentation unless the parties expressly agree otherwise. The proposed outside date is 60 days after signing. Either party may terminate if Closing has not occurred by that date, unless its own material breach caused the failure to close; the parties may extend that date by mutual written agreement.</w:t>
      </w:r>
    </w:p>
    <w:p>
      <w:r>
        <w:t>3. Representations, Interim Covenants and Indemnification. Before signing, the parties shall agree a financial-statements schedule identifying each audited annual and unaudited interim statement, its date and period, and the applicable accounting standards. Subject to sufficiently detailed disclosure schedules delivered and agreed before signing, the Seller shall represent that those statements fairly present, in all material respects, the Company’s financial position and results for the relevant dates and periods in accordance with the identified accounting standards, consistently applied, subject, for unaudited statements, only to normal year-end adjustments that are not material individually or in the aggregate and the absence of footnotes. The definitive documentation shall include customary representations concerning the Seller’s authority and title to the Shares, capitalization, taxes, undisclosed liabilities and material contracts, with appropriate scope, materiality and knowledge qualifications and disclosed exceptions. Disclosures shall qualify other representations only where their relevance is reasonably apparent. Between signing and Closing, the Seller shall cause the Company to operate in the ordinary course consistent with past practice and preserve its business in all material respects. Material actions outside the ordinary course, including dividends, equity issuances, material borrowings, material asset dispositions and entry into or termination of material contracts, shall require Buyer consent, not to be unreasonably withheld, conditioned or delayed, subject to agreed exceptions for disclosed matters, legal requirements and emergencies. Buyer shall have reasonable access for transaction purposes, subject to confidentiality, privilege, applicable law and noninterference with operations. As a proposed indemnification framework, general representations shall survive for 12 months after Closing, with a deductible basket equal to 1% of the purchase price and aggregate liability capped at 10% of the purchase price. An escrow equal to 5% of the purchase price shall secure general representation claims and be released after 12 months, less amounts reasonably reserved for timely notified, unresolved claims. Fundamental representations, tax matters, covenant breaches and fraud shall have separately negotiated survival periods, remedies and limitations; no unlimited liability is agreed by this proposal. The definitive documentation shall address claim procedures, defense and settlement of third-party claims, mitigation, no double recovery and exclusive contractual remedies, subject to agreed exceptions.</w:t>
      </w:r>
    </w:p>
    <w:p>
      <w:r>
        <w:t>4. Confidentiality. Each party shall keep the terms of this Agreement and nonpublic information received in connection with the transaction confidential, except for disclosures required by applicable law or regulation or made on a need-to-know basis for evaluating, financing or implementing the transaction to relevant affiliates and representatives, including professional advisers and financing sources, who are bound by confidentiality obligations or professional duties of confidentiality. Each party shall be responsible for its recipients’ compliance with this Section. Where legally permitted, a party making a legally required disclosure shall give the other party reasonable advance notice and disclose only what is required. No public announcement concerning this Agreement or the transaction shall be made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