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and Completion Accounts. For discussion and subject to Seller approval, the proposed enterprise value for the Shares is USD 40,000,000 on a cash-free, debt-free basis with a normalized level of working capital. The equity purchase price shall equal that enterprise value, plus only agreed qualifying cash, less agreed indebtedness and unpaid Seller transaction expenses, and plus or minus the difference between completion working capital and the agreed normalized working-capital target. Definitions, the target, illustrative calculations and accounting policies shall be agreed before signing. No item shall be counted more than once. The agreed accounting policies shall govern preparation of both the target and completion accounts, with an express hierarchy of policies and consistent treatment of items. At Closing, Buyer shall pay the estimated equity purchase price, less the agreed indemnity escrow, by wire transfer of immediately available funds to Seller’s designated account; the escrow shall be paid to the agreed independent escrow agent. Seller shall deliver an estimated closing statement at least five business days before Closing. Buyer shall deliver proposed completion accounts within 60 days after Closing, with supporting records and reasonable access for Seller. Seller shall have 30 days to object in reasonable detail; undisputed items shall be final. The parties shall seek to resolve objections for 20 days, after which unresolved accounting items shall be referred to an independent accountant jointly appointed by the parties, acting as expert and not arbitrator. Its determination shall be confined to disputed items and the parties’ submitted positions and shall be final absent manifest error or fraud. Expert costs shall be allocated by relative success. The resulting adjustment shall be paid within five business days after final determination. Non-accounting disputes remain subject to the agreed dispute-resolution provisions.</w:t>
      </w:r>
    </w:p>
    <w:p>
      <w:r>
        <w:t>2. Signing, Closing and Conditions. Buyer’s satisfactory diligence shall be completed before signing definitive documentation and shall not constitute a further discretionary closing condition. The parties shall target Closing within 30 days after signing, subject to satisfaction or written waiver by the party entitled to the benefit of each waivable condition. Conditions shall include required regulatory and specified third-party approvals; absence of any legal prohibition; accuracy of fundamental warranties in all material respects and of other warranties except for inaccuracies that, taken together, would constitute a defined Material Adverse Effect, without duplicating embedded materiality qualifications; performance of material pre-Closing covenants; absence of a defined Material Adverse Effect; financing availability only on specifically agreed terms; and delivery of customary share-transfer documents, corporate approvals, payoff letters and releases of security. Material Adverse Effect shall be defined before signing with customary exclusions for general economic, market and industry developments, changes in law or accounting rules and announcement effects, subject to agreed disproportionate-impact exceptions. Any financing condition must identify the financing, require timely reasonable efforts to obtain it, restrict adverse changes to commitments and expire on an agreed date. Buyer shall not rely on a condition failure caused by its breach. The definitive agreement shall specify a calendar outside date, any limited regulatory extension and the allocation of approval and financing risk.</w:t>
      </w:r>
    </w:p>
    <w:p>
      <w:r>
        <w:t>3. Warranties and Disclosure Schedules. Seller shall give negotiated warranties at signing and Closing concerning its authority and capacity; ownership of and title to the Shares, free of encumbrances other than agreed permitted encumbrances; Company organization and capitalization; financial statements and absence of undisclosed material liabilities; tax; material contracts; litigation; compliance with applicable laws; employment and employee benefits; and ownership or licensed use of material intellectual property. The scope, periods, materiality and knowledge qualifications shall be agreed before signing, with knowledge tied to identified persons and agreed inquiry obligations. Seller shall deliver disclosure schedules before signing, with cross-disclosure only where relevance is reasonably apparent on the face of the disclosure. Any data-room disclosure standard must be expressly agreed; general access to diligence materials shall not itself qualify all warranties. Seller represents that the financial statements provided to Buyer fairly present, in all material respects, the financial position and results of operations of the Company as of their respective dates and for the periods covered, in accordance with the accounting principles identified in those statements, consistently applied, subject, for unaudited statements, to normal year-end adjustments and absence of footnotes. Those qualifications shall not excuse material misstatements or omissions or adjustments that would render the statements materially misleading. Buyer shall give customary authority, enforceability and no-conflict warranties and agreed financing representations. No warranty beyond those expressly stated in definitive documentation is given.</w:t>
      </w:r>
    </w:p>
    <w:p>
      <w:r>
        <w:t>7. Termination, Remedies and Status. Definitive documentation shall permit termination by mutual written agreement, for a final legal prohibition, for a material breach causing failure of a closing condition that is not cured within an agreed period after notice, and if Closing has not occurred by the agreed outside date. A party whose breach caused the relevant failure may not rely on that failure to terminate. Financing-related termination rights and any associated fee or other remedy must be expressly negotiated. Termination shall preserve accrued rights for pre-termination breaches and the provisions expressly stated to survive, including confidentiality and agreed dispute-resolution provisions. Specific performance and other equitable relief shall be available only on agreed terms, with financing-related limitations expressly addressed. Governing law, forum, service arrangements and any jury-trial waiver remain to be agreed. This draft is a nonbinding negotiating proposal, not an offer capable of acceptance, and does not bind either party to sell, purchase or negotiate; transaction obligations arise only upon execution of definitive documentation approved by both clients. Existing binding confidentiality obligations remain unaffected.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