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in writing.</w:t>
      </w:r>
    </w:p>
    <w:p>
      <w:r>
        <w:t>2. Closing. Closing shall occur within 30 days of signing, on a date mutually agreed by the parties in writing. Payment of the Purchase Price and transfer of the Shares shall occur simultaneously at Closing.</w:t>
      </w:r>
    </w:p>
    <w:p>
      <w:r>
        <w:t>3. Representations. The Seller represents that the financial statements are accurate.</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