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Adjustments; Escrow. For discussion only and subject to Seller approval, the Seller proposes USD 40,000,000 as the cash-free, debt-free enterprise value of the business. The Buyer's preliminary USD 35,000,000 indication is not accepted. The equity purchase price shall equal the agreed enterprise value, plus Closing cash, less Closing indebtedness and unpaid transaction expenses expressly agreed to be Seller obligations, and increased or decreased by the amount by which Closing working capital exceeds or falls short of an agreed normalized working-capital target. Definitions, accounting policies, the target, and an illustrative calculation shall be agreed in a schedule before signing, with no double counting among adjustments or indemnification claims. The Seller shall deliver estimated completion accounts at least five Business Days before Closing. The Buyer shall pay the resulting estimated equity purchase price at Closing by wire transfer of immediately available funds, less only the agreed escrow deposit, which shall be funded simultaneously into an account with an independent escrow agent. The Buyer shall deliver proposed final completion accounts within 60 days after Closing; the Seller shall have 30 days to review and object, with reasonable access to relevant records and personnel. Unresolved accounting items shall be referred to an independent accountant acting as expert, not arbitrator, under an agreed procedure and limited to disputed items. Any resulting adjustment shall be paid within five Business Days after final determination. The indemnity escrow amount, duration, release mechanics, and escrow agreement remain to be agreed; no other withholding or unilateral setoff against the purchase price is permitted.</w:t>
      </w:r>
    </w:p>
    <w:p>
      <w:r>
        <w:t>2. Closing; Conditions; Termination. The parties shall target Closing within 30 days after signing. Closing shall occur within five Business Days after satisfaction or lawful waiver by the party entitled to the benefit of the applicable conditions, or on another agreed date, subject to a mutually agreed outside date of [date]. The Buyer's financial, legal, tax, and commercial diligence and internal approvals shall be completed within an agreed period before execution of definitive documentation; any post-signing diligence or Buyer approval condition must be expressly agreed, narrowly defined, and time-limited. The Seller shall provide reasonable access to relevant financial, tax, corporate, and material-contract materials, subject to confidentiality, privilege, legal restrictions, and appropriate redaction or clean-team arrangements. Closing conditions shall include required regulatory approvals and agreed material third-party consents; release of liens over the Shares and agreed liens over business assets, other than agreed permitted liens; accuracy of fundamental representations in all material respects and of other representations except for inaccuracies that, taken together, constitute a material adverse effect, without duplicating materiality qualifications; material compliance with pre-closing covenants; and no material adverse effect under a negotiated definition excluding general economic, industry, market, and legal changes except to the extent disproportionately affecting the business. Corresponding Buyer representations, covenant compliance, and ability to deliver the Closing payment shall be conditions for the Seller's benefit. Each party shall use the agreed reasonable efforts to obtain approvals and satisfy conditions and may not rely on failure of a condition caused by its own breach. No financing condition is proposed. At Closing, payment, escrow funding, transfer of the Shares, and delivery of the required documents shall occur simultaneously. Deliverables shall include duly executed share-transfer instruments and certificates or agreed equivalents, corporate approvals, agreed consents, lien releases or payoff arrangements, the escrow agreement, updated ownership records, agreed officer certificates, and any agreed resignations. The definitive agreement shall permit termination by mutual written consent, for an uncured material breach after an agreed cure period, upon a final legal prohibition, or if Closing has not occurred by the outside date, provided the terminating party has not materially caused the failure to close. Termination shall preserve accrued claims and expressly surviving confidentiality and dispute-resolution obligations.</w:t>
      </w:r>
    </w:p>
    <w:p>
      <w:r>
        <w:t>3. Representations; Interim Covenants; Indemnification. The definitive agreement shall contain negotiated Seller representations concerning title to the Shares, authority, capitalization, financial statements, undisclosed liabilities, taxes, material contracts, litigation, legal compliance, employment, and intellectual property, qualified by agreed materiality and knowledge standards and disclosure schedules delivered before signing. Financial-statement representations shall address fair presentation in accordance with the agreed accounting framework, rather than an unqualified guarantee of accuracy. Buyer representations shall address organization, authority, enforceability, absence of conflicts, and availability of funds. From signing until Closing, the Seller shall procure operation of the business in the ordinary course, preservation of material assets and business relationships, and no distributions, new indebtedness, equity issuances, or material acquisitions, disposals, or other material transactions outside agreed exceptions without the Buyer's prior written consent, not to be unreasonably withheld, conditioned, or delayed. The definitive agreement shall contain reciprocal indemnities for breaches of representations and covenants, with Seller liability subject to agreed disclosure qualifications, a de minimis threshold, deductible basket, aggregate cap, and survival periods, each to be negotiated. Fundamental and tax matters shall have separately agreed limits and survival periods; fraud treatment shall be expressly negotiated subject to applicable law. The escrow shall be the exclusive source of recovery for ordinary Seller representation claims, subject to specifically negotiated exceptions. Claims procedures shall require timely notice with reasonable particulars, preserve timely notified claims until resolution, allocate defense and settlement rights for third-party claims, require mitigation, and prevent double recovery, including through price adjustments, insurance, or third-party recoveries. Escrow releases shall occur on agreed dates, with retention only of amounts reasonably attributable to timely notified unresolved claims. No party may settle a third-party claim in a manner imposing admissions, nonmonetary obligations, or unreimbursed liability on another indemnified party without that party's written consent. Survival periods, monetary thresholds, caps, and escrow terms remain open and are not agreed by this draft.</w:t>
      </w:r>
    </w:p>
    <w:p>
      <w:r>
        <w:t>4. Confidentiality; General Provisions; Draft Status. The parties shall keep confidential the transaction terms and nonpublic information received in connection with the transaction and use that information only to evaluate, finance, or implement the transaction. Disclosure is permitted to advisers and bona fide financing sources with a need to know who are bound by confidentiality obligations or professional duties, and to the extent legally required, subject to lawful advance notice and reasonable cooperation in seeking protective treatment. Exceptions shall apply to information demonstrably public other than through breach, lawfully received without confidentiality restrictions, independently developed, or already lawfully known. No public announcement shall be made without the other party's consent except as legally required. The parties shall agree return or destruction procedures, subject to legally required retention and routine archival copies remaining confidential. Existing binding confidentiality arrangements remain in effect pending definitive documentation. Governing law, courts or arbitration forum, service provisions, and any interim-relief exception shall be expressly agreed before signing; no jurisdiction or dispute forum is selected by this draft. Definitive documentation shall also address notices, expenses, assignment, entire agreement, amendments, waivers, severability, counterparts, electronic signatures, and exclusion of unintended third-party rights. Each party shall bear its own transaction expenses unless otherwise agreed. This draft is a nonbinding negotiation proposal, including as to price, and creates no obligation to sell, buy, negotiate exclusively, or close. No transaction obligation arises until definitive documentation has been approved by each party and duly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