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without set-off or deduction except as required by applicable law.</w:t>
      </w:r>
    </w:p>
    <w:p>
      <w:r>
        <w:t>2. Closing. Closing shall occur within 30 days of signing.</w:t>
      </w:r>
    </w:p>
    <w:p>
      <w:r>
        <w:t>3. Representations. Except as disclosed in the disclosure schedules to be agreed by the parties, the Seller represents that the financial statements identified in those schedules fairly present, in all material respects, the financial position and results of operations of the Company as of their respective dates and for the periods covered, in accordance with the accounting principles specified therein, consistently applied, subject, in the case of interim financial statements, to normal year-end adjustments and the absence of footnotes.</w:t>
      </w:r>
    </w:p>
    <w:p>
      <w:r>
        <w:t>4. Confidentiality. Each party shall keep the terms of this Agreement confidential and shall not disclose them without the other party's prior written consent, except to its professional advisers and financing sources who are subject to confidentiality obligations, or as required by applicable law or regulation. Where legally permitted, a party required to make disclosure shall give the other party reasonable advance notice and disclose only what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