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proposed purchase price for the Shares is USD 40,000,000, subject to adjustments for cash, debt, unpaid transaction expenses and normalized working capital, each as specifically defined and agreed in the definitive agreement. The parties shall agree the working-capital target, accounting policies, illustrative calculation, closing-estimate and post-Closing true-up procedures, and an independent-accountant dispute mechanism before signing. Calculations shall avoid double counting among adjustments and indemnification recoveries. At Closing, the Buyer shall pay the adjusted purchase price by wire transfer of immediately available funds to the Seller's designated account, less an agreed amount deposited with an independent escrow agent to secure specified indemnification obligations. The escrow amount, duration, release mechanics and treatment of pending claims remain subject to agreement. Except for applicable withholding required by law and adjustment and recovery rights expressly agreed in the definitive agreement, payment shall be without set-off or deduction. No disputed claim shall permit withholding or set-off against other payments except as expressly agreed.</w:t>
      </w:r>
    </w:p>
    <w:p>
      <w:r>
        <w:t>2. Closing. The parties shall target Closing within 30 days after signing the definitive agreement, subject to completion of satisfactory diligence, execution of definitive documentation, receipt of required approvals and satisfaction or waiver of customary closing conditions. The definitive agreement shall specify objective closing conditions, obligations to pursue their satisfaction, and a separate outside date of [date to be agreed], together with customary termination rights; a party whose material breach causes the failure to close may not rely on that failure to terminate. The timetable does not create a financing condition, which would require Seller's express agreement.</w:t>
      </w:r>
    </w:p>
    <w:p>
      <w:r>
        <w:t>3. Financial Statements; Representations and Indemnification. Before signing, Seller shall provide complete disclosure schedules and the following financial statements, to be identified expressly in the definitive agreement: [annual financial statements, including audit status, dates and periods] and [interim financial statements, dates and periods]. The applicable accounting framework shall be [US GAAP, IFRS or other specified framework—to be confirmed before signing], consistently applied. Subject to specifically disclosed exceptions in the agreed disclosure schedules, Seller shall represent that those financial statements fairly present, in all material respects, the Company's financial position and results of operations as of their respective dates and for the periods covered in accordance with that framework, subject, for interim financial statements only, to normal, recurring, nonmaterial year-end adjustments and the absence of footnotes. The definitive agreement shall include customary, transaction-appropriate representations and warranties, disclosure qualifications, indemnification obligations, claims procedures and survival periods. The parties shall expressly agree liability caps, baskets, de minimis thresholds, mitigation requirements, exclusions for duplicative recovery, treatment of insurance and third-party recoveries, and appropriate exceptions for fraud and specified fundamental and tax matters. Subject to expressly negotiated exceptions, the indemnity escrow shall be Buyer's exclusive source of recovery for general representation-and-warranty claims, and the agreed indemnification regime shall be the exclusive post-Closing remedy, without limiting expressly agreed purchase-price adjustment rights. No indemnity amount, survival period or exception is agreed by this draft.</w:t>
      </w:r>
    </w:p>
    <w:p>
      <w:r>
        <w:t>4. Confidentiality. Each party shall keep the terms of this Agreement and nonpublic information received in connection with the transaction confidential and shall not disclose them without the other party's prior written consent, except to its relevant affiliates, representatives, professional advisers and existing or prospective financing sources who need to know for evaluating, financing or completing the transaction and are subject to appropriate contractual or professional confidentiality obligations, or as required by applicable law or regulation. Each party shall be responsible for breaches by recipients to whom it discloses information, other than recipients bound directly to the disclosing party by an enforceable confidentiality undertaking. Where legally permitted, a party required to make disclosure shall give the other party reasonable advance notice, reasonably cooperate in seeking confidential treatment and disclose only what is required. Any existing confidentiality agreement remains in effect pending an express written agreement addressing its replacement or continuation.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Round 2 Seller counterproposal — current negotiating draft; nonbinding and subject to approval and definitive documentation.</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