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in writing by the Seller.</w:t>
      </w:r>
    </w:p>
    <w:p>
      <w:r>
        <w:t>2. Closing. Closing shall occur within 30 days of signing on a date mutually agreed in writing by the parties, subject to satisfaction or written waiver by the party entitled to the benefit of any closing conditions expressly agreed in this Agreement. At Closing, payment of the Purchase Price and transfer of the Shares shall occur simultaneously.</w:t>
      </w:r>
    </w:p>
    <w:p>
      <w:commentRangeStart w:id="0"/>
      <w:r>
        <w:t>3. Representations. The Seller represents that the financial statements identified in Schedule 3 fairly present, in all material respects, the financial position and results of operations of the Company as of the dates and for the periods stated therein, in accordance with the accounting framework specified in Schedule 3, consistently applied, subject, in the case of unaudited statements, to normal year-end adjustments and the absence of footnotes.</w:t>
      </w:r>
      <w:commentRangeEnd w:id="0"/>
      <w:r>
        <w:rPr>
          <w:rStyle w:val="CommentReference"/>
        </w:rPr>
        <w:commentReference w:id="0"/>
      </w:r>
    </w:p>
    <w:p>
      <w:r>
        <w:t>4. Confidentiality. Each party shall keep the terms of this Agreement confidential, except for disclosures required by applicable law or regulation, or made to its professional advisers or financing sources who are subject to confidentiality obligations. Where legally permitted, a party required to disclose shall give the other party prior notice and reasonably cooperate to limit disclosure. No public announcement concerning this Agreement shall be made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6:30Z">
    <w:p>
      <w:pPr>
        <w:pStyle w:val="CommentText"/>
      </w:pPr>
      <w:r>
        <w:rPr>
          <w:rStyle w:val="CommentReference"/>
        </w:rPr>
        <w:annotationRef/>
      </w:r>
      <w:r>
        <w:t>Schedule 3 is to identify the relevant financial statements and applicable accounting framework. The parties will also need to agree the disclosure schedule and applicable limitations on liability.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