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40,000,000, subject to completion of agreed diligence and definitive agreement on the adjustment mechanism described below. The Purchase Price shall be adjusted for cash, debt, specifically agreed debt-like items, unpaid Company transaction expenses and the difference between Closing working capital and an agreed normalized working-capital target. The parties shall agree definitions, exclusions, accounting policies, an illustrative calculation, an estimated Closing statement, a post-Closing true-up process and an independent accountant dispute procedure before signing. No item shall be counted more than once, whether within or between adjustment categories or through any indemnification recovery. The adjusted amount payable at Closing shall be paid by wire transfer of immediately available funds to the Seller's designated account, subject only to any expressly agreed escrow under clause 7.</w:t>
      </w:r>
    </w:p>
    <w:p>
      <w:r>
        <w:t>2. Closing and Termination. The parties shall target Closing within 30 days after signing. Closing shall occur on a mutually agreed date promptly following satisfaction or, where legally permissible, written waiver by the party entitled to the benefit of the agreed conditions. Payment of the amount due at Closing, funding of any agreed escrow and transfer of the Shares shall occur simultaneously. Conditions shall include: completion of financial, legal, tax and commercial diligence against an agreed scope and objective acceptance criteria by an agreed deadline; receipt of required Buyer financing under financing arrangements and a timetable agreed before signing; required regulatory approvals and material third-party consents specified in the Agreement; absence of an injunction or other legal prohibition; accuracy of Seller representations at Closing, with fundamental representations accurate in all respects other than de minimis inaccuracies, other representations accurate in all material respects, no additional materiality qualifier applied to representations already so qualified, and date-specific representations tested as of their specified date; Seller's material compliance with its covenants; absence of a material adverse change under an agreed definition containing customary general economic, industry and other negotiated exclusions and any agreed disproportionate-effect exception; and delivery of valid title to the Shares free of encumbrances and agreed closing documents. Conditions shall not be matters of Buyer's unfettered discretion. Buyer shall use reasonable best efforts to obtain financing and shall not rely on failure of a condition caused by its breach. Seller's conditions shall include Buyer's material covenant compliance and accuracy of Buyer's authority and payment-related representations. The proposed outside date is 60 days after signing, subject to mutual written agreement and any expressly agreed regulatory extension. Either party may terminate if Closing has not occurred by the outside date, unless its breach materially caused the failure, or upon a final non-appealable legal prohibition. The Agreement shall also provide for termination by mutual written consent and for material breach following notice and an agreed cure period. Termination shall preserve accrued rights for breach and provisions expressly stated to survive.</w:t>
      </w:r>
    </w:p>
    <w:p>
      <w:r>
        <w:t>3. Seller Representations and Financial Information. Subject to the agreed disclosure schedule and negotiated qualifications, Seller shall give customary representations concerning organization and authority; enforceability and absence of conflicts; ownership and capitalization of the Company and title to the Shares; financial statements and undisclosed liabilities; taxes; material contracts; assets and intellectual property; employees and benefits; litigation; compliance with law and permits; environmental matters; related-party arrangements; and brokers. The scope, knowledge qualifiers, materiality thresholds and relevant periods shall be settled in the definitive Agreement. Seller shall provide a proposed Schedule 3 identifying the latest audited annual financial statements and accompanying audit report and latest available interim statements, together with the accounting framework and details of changes in accounting policies. Neither the statements nor the framework is confirmed in this draft. Following review and agreement of Schedule 3, the financial statement representation shall provide that the identified statements are complete in all material respects, consistent in all material respects with the Company's books and records, and fairly present in all material respects the Company's financial position and results of operations for the relevant dates and periods under the agreed accounting framework, consistently applied except for disclosed changes. Any qualification for unaudited statements shall be limited to absence of footnotes and normal recurring year-end adjustments that are not material individually or in the aggregate. Any audit qualifications shall be expressly identified for review and agreement, not implicitly accepted.</w:t>
        <w:br/>
        <w:br/>
        <w:t>5. Interim Conduct and Access. From signing until Closing, Seller shall cause the Company to operate in the ordinary course in all material respects and use commercially reasonable efforts to preserve its business and material relationships. Except as disclosed and expressly permitted in the Agreement, required by law, or approved in writing by Buyer, such approval not to be unreasonably withheld, conditioned or delayed, the Company shall not make distributions or other value transfers to Seller or its affiliates, issue securities, incur material indebtedness, dispose of material assets outside the ordinary course, enter into material related-party transactions or materially alter accounting policies. The parties shall agree thresholds and ordinary-course exceptions. Any remedy for prohibited value transfers shall avoid duplication with price adjustments and indemnification. Seller shall provide reasonable diligence access on reasonable notice during business hours, without undue disruption, subject to confidentiality, applicable law and privilege protections. Buyer shall not contact employees, customers or suppliers without Seller's prior written consent. The parties shall cooperate on lawful alternative arrangements where direct access would compromise privilege or protected information.</w:t>
        <w:br/>
        <w:br/>
        <w:t>6. Disclosure Schedule and Deliverables. Seller shall prepare a disclosure schedule supporting its representations and identifying agreed exceptions. Closing deliverables shall include executed share-transfer instruments, share certificates or agreed equivalents, releases of encumbrances over the Shares, required corporate approvals, agreed officer certificates and other mutually agreed documents. Buyer shall provide evidence of authority, payment and any agreed financing commitments. The definitive Agreement shall specify delivery deadlines and the effect, if any, of supplemental disclosures; supplemental disclosure shall not automatically cure a breach.</w:t>
        <w:br/>
        <w:br/>
        <w:t>7. Indemnification and Liability Limitations. The definitive Agreement shall include reciprocal indemnification for breaches of representations and covenants and agreed treatment of pre-Closing taxes and specifically identified risks. Any escrow or holdback shall be a separately negotiated, limited portion of the Purchase Price, held by an independent escrow agent with an agreed release schedule and procedures for disputed claims. No amount or duration is agreed in this draft. The parties shall agree survival periods, a de minimis threshold, basket, aggregate caps and distinct treatment of fundamental representations, taxes and actual fraud. Seller proposes exclusive contractual remedies following Closing, subject to actual fraud and agreed equitable relief; mitigation obligations; credit for actual insurance and other third-party recoveries net of reasonable recovery costs; and exclusion of duplicative recoveries and remote or punitive losses except amounts payable to third parties. The parties shall agree claim notice, defense control and settlement procedures. No unlimited liability or particular escrow amount is accepted by this draft.</w:t>
      </w:r>
    </w:p>
    <w:p>
      <w:r>
        <w:t>4. Confidentiality. Each party shall keep the terms of this Agreement and non-public information received in connection with the transaction confidential, except for disclosures required by applicable law or regulation or made on a need-to-know basis to its affiliates and its or their representatives, including professional advisers and financing sources, who are bound by confidentiality obligations or professional duties of confidentiality appropriate to the information disclosed. Each party shall be responsible for breaches by recipients to whom it discloses information, other than recipients that have entered into directly enforceable confidentiality undertakings in favor of the disclosing party. Where legally permitted, a party required to disclose shall give the other party prior notice and reasonably cooperate to limit disclosure. No public announcement concerning this Agreement shall be made without the other party's prior written consent, except as required by applicable law or regulation. These obligations shall survive termination, without limiting any existing confidentiality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