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Seller’s proposed purchase price for the Shares is USD 45,000,000, subject to agreement on valuation assumptions and customary adjustments for cash, debt, working capital against an agreed normalized target, and unpaid transaction expenses, without double counting. The parties shall agree applicable definitions, accounting principles, an illustrative calculation, completion-account procedures and an independent-accountant dispute mechanism. The Buyer’s USD 35,000,000 proposal remains under discussion and is not accepted by this draft. No price or transaction commitment shall arise unless definitive agreements are executed following the parties’ respective approvals.</w:t>
      </w:r>
    </w:p>
    <w:p>
      <w:r>
        <w:t>2. Closing; Interim Covenants; Termination. The parties shall target Closing within 30 days after signing, subject to completion of satisfactory diligence before execution of definitive agreements, necessary corporate and regulatory approvals and third-party consents, and satisfaction or permitted waiver of agreed closing conditions. Any diligence condition continuing after signing must be expressly agreed, with defined scope and timing. Closing conditions shall include the accuracy of representations, subject to agreed materiality standards, and material performance of pre-closing covenants. Before Closing, the Seller shall procure operation of the business in the ordinary course, preservation of material business relationships, reasonable diligence access subject to confidentiality, privilege and applicable law, and restrictions on material extraordinary transactions, distributions, indebtedness and disposals, with agreed exceptions and Buyer consent not to be unreasonably withheld, conditioned or delayed. The parties shall cooperate in obtaining approvals and consents. Definitive agreements shall provide termination rights for mutual consent, failure to close by an agreed outside date, a final legal prohibition, and an uncured material breach preventing satisfaction of a closing condition, subject to appropriate notice and cure periods. A party may not rely on a failure it caused through its own material breach. Termination shall preserve agreed surviving provisions and liability for prior actionable breaches.</w:t>
      </w:r>
    </w:p>
    <w:p>
      <w:r>
        <w:t>3. Representations; Indemnification. Definitive agreements shall contain customary Seller representations concerning title to the Shares, authority and enforceability, capitalization, financial statements, undisclosed liabilities, tax, material contracts, litigation, compliance with law, and other matters reasonably identified through diligence, with appropriate scope, materiality and knowledge qualifications and disclosure-schedule exceptions. Subject to applicable accounting standards and agreed qualifications, the financial statements shall fairly present the financial position and results of the business. The Seller shall provide indemnification for breaches of its representations and covenants and agreed pre-Closing tax liabilities, subject to negotiated survival periods, thresholds, deductibles, caps, claims procedures, mitigation and no-double-recovery provisions. Meaningful recourse shall be provided through an agreed escrow or holdback, with its amount, duration and release mechanics to be negotiated. Fundamental representations, tax claims and fraud shall receive separately agreed treatment, subject to applicable law. No unlimited indemnity or specific escrow amount is agreed by this draft.</w:t>
      </w:r>
    </w:p>
    <w:p>
      <w:r>
        <w:t>4. Confidentiality. Each party shall keep confidential the negotiations, this Agreement and non-public information received concerning the other party or the business, and shall use such information solely to evaluate, finance or implement the proposed transaction. Disclosure is permitted to representatives, professional advisers and bona fide financing sources with a need to know who are subject to appropriate confidentiality duties, and as required by law, regulation, court order or applicable stock-exchange rules. For required disclosures, the disclosing party shall, to the extent legally permitted and reasonably practicable, give advance notice, cooperate in seeking protective treatment and disclose only what is required. Customary exclusions shall apply to information that is public other than through breach, lawfully obtained without restriction, previously lawfully known, or independently developed. Existing confidentiality agreements remain effective, with any conflicts to be expressly resolved in definitive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