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45,000,000, subject to mutually agreed adjustments for cash, debt, transaction expenses and normalized working capital. The definitions, accounting principles, working-capital target, calculation procedures and dispute-resolution mechanism for those adjustments shall be agreed in the definitive documentation, without double counting. The Buyer's USD 30,000,000 proposal is not accepted. Any revision to the proposed purchase price remains subject to the Seller's express written agreement.</w:t>
      </w:r>
    </w:p>
    <w:p>
      <w:r>
        <w:t>2. Closing; Conditions; Termination. The parties shall target Closing within 30 days after signing definitive documentation. Closing shall be subject to completion of the Buyer's due diligence before signing or satisfaction of any expressly agreed, objectively defined post-signing diligence condition; receipt of required regulatory approvals and material third-party consents; absence of any legal restraint; accuracy of representations subject to agreed materiality standards; material performance of covenants; and delivery of customary closing documents. The definitive documentation shall specify the conditions benefiting each party and the circumstances in which they may be waived. Termination rights shall include mutual written agreement, a final nonappealable legal prohibition, an uncured material breach following written notice and an agreed cure period, and failure to close by a mutually agreed outside date, provided that a party whose breach caused the failure may not exercise the applicable termination right. Confidentiality, accrued rights and liability for fraud or willful breach shall survive termination.</w:t>
      </w:r>
    </w:p>
    <w:p>
      <w:r>
        <w:t>3. Representations; Disclosure Schedules; Interim Covenants; Indemnification. The definitive documentation shall include customary Seller representations concerning title to the Shares, authority, capitalization, financial statements, undisclosed liabilities, taxes, material contracts, litigation, compliance with applicable law, employees and intellectual property, subject to negotiated scope, materiality and knowledge qualifications and disclosure schedules delivered at signing. Buyer representations shall include authority and ability to fund the transaction. Between signing and Closing, the Seller shall cause the business to operate in the ordinary course, preserve material business relationships and assets, and refrain from agreed extraordinary actions without the Buyer's consent, not to be unreasonably withheld, conditioned or delayed, subject to agreed exceptions and applicable law. The parties shall negotiate indemnification for breaches of representations and covenants and specified tax liabilities, with agreed claim procedures, mitigation requirements, exclusions of double recovery, baskets, caps and exclusive-remedy provisions. General representations shall have a proposed survival period of 12 months after Closing; fundamental and tax representations and covenants shall have separately agreed survival periods. A mutually agreed portion of the purchase price shall be placed in escrow as security for agreed indemnification obligations, with its amount, duration, release mechanics and treatment of pending claims specified in the definitive documentation. Fraud shall be subject to an expressly negotiated definition and carve-out. Unresolved economic and liability terms require express agreement and shall not be inferred from this draft.</w:t>
      </w:r>
    </w:p>
    <w:p>
      <w:r>
        <w:t>4. Confidentiality; Diligence Access. The existence and terms of the transaction and nonpublic information exchanged in connection with it shall remain confidential, subject to any existing confidentiality agreement. Disclosure may be made on a need-to-know basis to professional advisers, representatives and prospective financing sources bound by applicable professional duties or confidentiality obligations at least as protective as those agreed by the parties. A recipient may disclose information to the extent required by law, regulation or legal process, with advance notice to the disclosing party where legally permitted and reasonably practicable, reasonable cooperation in seeking protective treatment, and disclosure limited to what is required. Confidentiality restrictions shall not apply to information demonstrably public other than through breach, lawfully obtained from an unrestricted third party, previously lawfully known without restriction, or independently developed without use of confidential information. Diligence access, including financial information and available supporting valuation materials, shall be coordinated through designated representatives under appropriate confidentiality and data-room protocols, subject to privilege, applicable law and third-party restrictions. No direct contact with employees, customers or suppliers shall occur without the Seller's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