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purchase price for the Shares is USD 45,000,000, subject to contract and client approval. The purchase price shall be adjusted for closing cash, indebtedness, unpaid transaction expenses and normalized working capital against an agreed target, using definitions, accounting principles and procedures to be agreed following diligence. No item shall be counted more than once. The definitive agreement shall provide for estimated closing adjustments, a post-closing true-up and referral of unresolved accounting disputes to an independent accountant. The Buyer's proposed price of USD 35,000,000 has not been accepted.</w:t>
      </w:r>
    </w:p>
    <w:p>
      <w:r>
        <w:t>2. Closing. The parties shall target Closing within 30 days after signing the definitive agreement, subject to satisfaction or lawful waiver by the party entitled to the benefit of the applicable conditions. Conditions shall include satisfactory completion of the Buyer's diligence against an agreed scope and timetable; receipt of required corporate and regulatory approvals and material third-party consents; absence of any legal prohibition; accuracy of the parties' representations at Closing, subject to agreed materiality standards; material performance of their respective covenants; and delivery of the agreed closing documents and purchase funds. The parties shall cooperate and use commercially reasonable efforts to satisfy the conditions. The 30-day target is not an unconditional closing obligation. The definitive agreement shall specify an agreed outside date and objective standards for the diligence condition.</w:t>
      </w:r>
    </w:p>
    <w:p>
      <w:r>
        <w:t>3. Representations. Subject to agreed disclosure schedules, knowledge and materiality qualifications, and other negotiated limitations, the Seller shall represent as to: its ownership of and good title to the Shares, free of encumbrances other than agreed permitted encumbrances; the Company's capitalization and outstanding equity rights; authority, due authorization and enforceability; preparation of the financial statements in accordance with the agreed accounting framework and their fair presentation in all material respects; absence of undisclosed liabilities except as disclosed or otherwise agreed; tax filings and payments; material contracts and material defaults; pending or threatened material litigation; compliance with applicable laws; material employment, benefit and labor matters; and ownership of or adequate rights to use material intellectual property. The Buyer shall provide customary representations concerning organization, authority, enforceability, absence of conflicts, and availability of funds at Closing. Detailed scope, disclosure standards and survival periods remain subject to agreement.</w:t>
      </w:r>
    </w:p>
    <w:p>
      <w:r>
        <w:t>4. Confidentiality. Each party shall keep confidential the transaction terms and nonpublic information received from the other party. Disclosure is permitted to its advisers, representatives and actual or prospective financing sources who need to know the information and are bound by professional duties or confidentiality obligations, and to the extent required by law, regulation, court order or a competent authority. For required disclosures, the disclosing party shall, where lawful and practicable, give advance notice, cooperate in seeking protective treatment and disclose only what is required. Information that becomes public without breach, is lawfully obtained without confidentiality restrictions, or is independently developed is excluded. Neither party shall make a public announcement without the other's prior written consent, except as legally required. Any existing confidentiality agreement remains effective pending agreement on its relationship with these provisions.</w:t>
        <w:br/>
        <w:br/>
        <w:t>5. Interim Covenants. Until Closing or termination, the Seller shall cause the Company to operate in the ordinary course, use commercially reasonable efforts to preserve its business and material relationships, and provide reasonable diligence access subject to confidentiality, privilege, applicable law and reasonable operational safeguards. Subject to agreed thresholds and exceptions, the Company shall not issue equity, make distributions, incur material debt, dispose of material assets, enter into or materially amend material contracts, materially alter employee compensation, or change material accounting or tax practices without the Buyer's prior written consent, not to be unreasonably withheld, conditioned or delayed. Exceptions shall cover disclosed commitments, legal requirements and reasonably necessary emergency actions. The Buyer shall not control the Company's business before Closing.</w:t>
        <w:br/>
        <w:br/>
        <w:t>6. Indemnification and Escrow. Following Closing, the Seller shall indemnify the Buyer for covered losses arising from breaches of the Seller's representations and covenants and agreed pre-Closing tax liabilities. The Buyer shall indemnify the Seller for breaches of the Buyer's representations and covenants. Indemnification shall be subject to agreed survival periods, claim procedures, baskets, caps, mitigation requirements and exclusions of duplicative recovery, with separately negotiated treatment of fundamental representations, taxes and fraud. An agreed portion of the purchase price shall be placed in escrow at Closing under a mutually acceptable escrow agreement to support Seller indemnification obligations. The escrow amount, duration, release mechanics and treatment of timely asserted claims remain to be agreed; no amount or duration is accepted by this draft. The definitive agreement shall address third-party defense procedures and exclusive remedies, subject to agreed exceptions.</w:t>
        <w:br/>
        <w:br/>
        <w:t>7. Termination. Before Closing, the definitive agreement may be terminated by mutual written consent; by either party if Closing has not occurred by an agreed outside date, unless that party's material breach caused the failure to close; by either party upon a final, nonappealable legal prohibition; or by the nonbreaching party for a material breach that would cause a closing condition to fail and is not cured within an agreed period after written notice. Any Buyer termination right for unsatisfactory diligence shall be exercisable only within an agreed diligence period and in accordance with the agreed diligence condition. Termination shall not affect accrued liability for prior breach, and confidentiality and other expressly designated provisions shall survive. No termination fee is agreed.</w:t>
        <w:br/>
        <w:br/>
        <w:t>8. Draft Status. This draft records proposals only and creates no obligation to sell, purchase or close unless and until definitive agreements are executed with the required client approvals. Existing binding confidentiality obligations are unaffected.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