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br/>
        <w:t>SUBJECT TO CONTRACT — NONBINDING NEGOTIATION DRAFT</w:t>
        <w:br/>
        <w:t>This draft is for discussion only. No party is bound unless and until a definitive agreement is executed and delivered. Any existing confidentiality agreement remains unaffected.</w:t>
      </w:r>
    </w:p>
    <w:p>
      <w:r>
        <w:t>1. Purchase Price. The proposed base purchase price for the Shares is USD 45,000,000, subject to agreement on adjustments for closing cash, debt, unpaid transaction expenses and the difference between closing working capital and an agreed normalized working-capital target. Definitions, accounting principles, an illustrative calculation and the working-capital target shall be agreed before signing. Adjustments shall avoid double counting and use consistent accounting policies. The definitive agreement shall provide for an estimated closing statement, a post-closing true-up, reasonable review and objection periods, and referral of unresolved accounting disputes to an independent accountant acting as expert. Any agreed indemnity escrow shall be funded from, and not in addition to, the consideration otherwise payable to the Seller.</w:t>
      </w:r>
    </w:p>
    <w:p>
      <w:r>
        <w:t>2. Closing and Conditions. The parties shall target closing within 30 days after execution of the definitive agreement, subject to satisfaction or permitted waiver of the agreed closing conditions. Buyer's obligation to sign shall remain subject to satisfactory diligence and agreement on definitive terms. Any diligence condition continuing after signing must be expressly agreed, objectively defined and time-limited; it shall not confer an unrestricted walk-away right. Closing conditions shall include required regulatory approvals and specified third-party consents, absence of any applicable legal prohibition, accuracy of representations subject to agreed materiality standards, material performance of covenants and delivery of customary transfer instruments, certificates and closing payments. Any material-adverse-effect condition shall be subject to a negotiated definition and customary exclusions. The long-stop date shall be [60] days after signing, subject to agreed extensions for pending regulatory approvals. Financing shall not be a closing condition unless expressly agreed.</w:t>
      </w:r>
    </w:p>
    <w:p>
      <w:r>
        <w:t>3. Seller Representations. Subject to an agreed disclosure schedule and negotiated materiality, knowledge and other customary qualifications, the Seller shall represent at signing and closing that: (a) it owns the Shares and can transfer them free of encumbrances other than agreed permitted encumbrances; (b) it has authority to enter into and perform the agreement, which constitutes its binding obligation subject to customary enforceability exceptions; (c) the Company's capitalization and outstanding equity rights are accurately disclosed; (d) the specified financial statements fairly present the Company's financial position and results in accordance with the agreed accounting framework, subject to customary qualifications for interim statements; (e) the Company has no material undisclosed liabilities other than those reflected or reserved in the financial statements, incurred in the ordinary course since the reference date, or otherwise disclosed; (f) material tax returns have been filed and material taxes paid, with material tax disputes disclosed; (g) material contracts are disclosed and, to the Seller's knowledge, no material uncured defaults exist except as disclosed; (h) material pending litigation and, to the Seller's knowledge, threatened litigation are disclosed; and (i) the Company complies in all material respects with applicable laws and holds material required permits, except as disclosed. The scope, relevant periods and knowledge persons shall be agreed. Except for the express contractual representations, no other representation or warranty is given; any non-reliance provisions shall preserve liability for fraud as defined under applicable law.</w:t>
      </w:r>
    </w:p>
    <w:p>
      <w:r>
        <w:t>4. Confidentiality. Transaction terms and nonpublic information exchanged shall remain confidential, subject to any existing confidentiality agreement. Disclosure is permitted to advisers and bona fide financing sources who need to know and are bound by professional duties or confidentiality obligations, and where required by law, regulation or legal process. To the extent lawful and practicable, the disclosing party shall give advance notice of a compelled disclosure, cooperate in seeking protective treatment and disclose only what is required. Exceptions shall apply to information lawfully public, already lawfully known without restriction, independently developed, or lawfully received from an unrestricted third party. Public announcements require mutual consent except where legally required.</w:t>
        <w:br/>
        <w:br/>
        <w:t>5. Interim Covenants and Access. From signing until closing or termination, the Seller shall cause the Company to operate in the ordinary course and use commercially reasonable efforts to preserve its business and material relationships. Subject to agreed thresholds and exceptions, the Company shall not issue equity, make distributions, incur extraordinary indebtedness, dispose of material assets, enter into or amend material contracts outside the ordinary course, or make material changes to accounting or tax practices without Buyer's prior written consent, not to be unreasonably withheld, conditioned or delayed. Buyer shall receive reasonable access on reasonable notice during business hours to relevant records, premises and personnel, without unreasonable disruption and subject to confidentiality, privilege, data protection, competition law and third-party restrictions. The parties shall use reasonable alternative arrangements where access is restricted. No contact with employees, customers or suppliers concerning the transaction is permitted without Seller's prior consent. Buyer shall not control the Company before closing.</w:t>
        <w:br/>
        <w:br/>
        <w:t>6. Indemnification and Escrow. The definitive agreement shall provide for Seller indemnification for breaches of its express representations and covenants and specified pre-closing tax liabilities, subject to negotiated exclusions, claim procedures and limitations. General representations shall survive for [12] months after closing, with a negotiated de minimis threshold, deductible basket and aggregate cap. Title, authority, capitalization and tax claims shall have separately agreed survival periods and caps. An agreed portion of the purchase price shall be deposited with an independent escrow agent for [12] months as security for covered claims; its amount and release mechanics remain subject to agreement. Only amounts reasonably attributable to timely notified unresolved claims shall remain reserved after the release date. The escrow shall be Buyer's sole recourse for general representation claims, subject to expressly agreed exceptions. Claims shall be subject to mitigation, no double recovery and appropriate credit for insurance proceeds and actual tax benefits. The agreement shall include notice, defense and settlement procedures for third-party claims. Contractual indemnification shall be the exclusive post-closing monetary remedy except for fraud and expressly agreed exceptions, without limiting agreed equitable relief. Buyer shall indemnify Seller for Buyer's breaches of its express representations and covenants, on agreed terms.</w:t>
        <w:br/>
        <w:br/>
        <w:t>7. Termination. Before closing, the definitive agreement may be terminated by mutual written consent; by either party if closing has not occurred by the long-stop date, provided that party's material breach has not caused the failure to close; by either party upon a final, nonappealable legal prohibition; or by the nonbreaching party for a material breach that would cause a closing condition to fail and remains uncured after an agreed cure period. Any post-signing diligence termination right must be expressly agreed and exercised within its specified period. Termination shall end prospective obligations, except for provisions expressly stated to survive, and shall not release liability for prior willful material breach or fraud.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