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DISCUSSION DRAFT</w:t>
        <w:br/>
        <w:t>Non-binding and subject to contract. This draft does not create an obligation to proceed with the transaction; binding transaction obligations arise only upon execution of definitive documentation.</w:t>
      </w:r>
    </w:p>
    <w:p>
      <w:r>
        <w:t>1. Purchase Price. The Seller proposes a purchase price of USD 45,000,000 for the Shares. The treatment of cash, debt and normalized working capital, including the applicable definitions, target, calculation methodology and adjustment procedures, remains subject to agreement in definitive documentation. The proposed transaction remains subject to satisfactory diligence, required approvals and agreement on definitive terms.</w:t>
      </w:r>
    </w:p>
    <w:p>
      <w:r>
        <w:t>2. Closing. Closing shall occur on a date agreed by the parties following satisfaction or, where legally permissible, waiver by the party entitled to the benefit of the applicable conditions set out in the definitive agreement. Those conditions shall include required regulatory and corporate approvals and other mutually agreed customary closing conditions. The definitive agreement shall specify an agreed long-stop date and associated termination rights.</w:t>
      </w:r>
    </w:p>
    <w:p>
      <w:r>
        <w:t>3. Representations, Disclosure and Indemnification. The definitive agreement shall contain mutually agreed customary Seller representations concerning title to the Shares, authority, accounts, undisclosed liabilities, tax, material contracts, litigation and compliance with applicable law. Their scope shall be subject to negotiated materiality and knowledge qualifications and appropriate disclosures in an agreed disclosure letter and schedules. The parties shall agree the process and standard for disclosure, including the treatment of due-diligence materials. Any indemnification provisions shall be negotiated together with applicable caps, baskets, time limits, claim procedures, mitigation obligations and protections against double recovery. Supporting financial information and proposed disclosure materials shall be made available through an agreed diligence process, subject to applicable law, privilege and appropriate confidentiality protections.</w:t>
      </w:r>
    </w:p>
    <w:p>
      <w:r>
        <w:t>4. Confidentiality. The existence and terms of the proposed transaction and non-public information exchanged in connection with it shall be kept confidential and used only to evaluate, finance or implement the transaction. A party may disclose such information to its advisers and actual or prospective financing sources who need to know it for those purposes and are bound by confidentiality obligations or professional duties of confidentiality. Disclosure may also be made to the extent required by law, regulation or a competent authority, provided that, where legally permitted, the disclosing party gives advance notice and reasonably cooperates in seeking confidential treatment. Confidentiality restrictions shall not apply to information lawfully in the public domain other than through a breach of confidentiality. Any existing confidentiality agreement remains unaffected unless expressly amended in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