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 This amount constitutes the Seller's firm asking price.</w:t>
      </w:r>
    </w:p>
    <w:p>
      <w:r>
        <w:t>2. Closing. Closing shall occur within 60 days of signing to allow sufficient time for due diligence.</w:t>
      </w:r>
    </w:p>
    <w:p>
      <w:r>
        <w:t>3. Representations. The Seller represents and warrants that the financial statements are accurate and complete, and that, to the Seller's knowledge, there are no undisclosed liabilities.</w:t>
      </w:r>
    </w:p>
    <w:p>
      <w:r>
        <w:t>4. Confidentiality. The terms of this Agreement and all negotiation materials related to this transaction are confidential and shall not be disclosed to any third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33,500,000</vt:lpwstr>
  </property>
</Properties>
</file>