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45 days of signing.</w:t>
      </w:r>
    </w:p>
    <w:p>
      <w:r>
        <w:t>3. Representations. The Seller represents that the financial statements are true, complete, and accurate in all material respects and that the Seller is in compliance with all applicable laws and regulations.</w:t>
      </w:r>
    </w:p>
    <w:p>
      <w:r>
        <w:t>4. Confidentiality. Both parties agree to keep the terms of this Agreement and any related confidential information strictly confidential, except as required by law, regulation, or with the prior written consent of the other party. This obligation shall survive termination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internal draft -- scrub before sending</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MatterNotes">
    <vt:lpwstr xmlns:vt="http://schemas.openxmlformats.org/officeDocument/2006/docPropsVTypes">client walk-away 33,500,000</vt:lpwstr>
  </property>
</Properties>
</file>