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and warrants that the financial statements fairly present the financial condition of the Company as of their dates and have been prepared in accordance with applicable accounting standards.</w:t>
      </w:r>
    </w:p>
    <w:p>
      <w:r>
        <w:t>4. Confidentiality. The terms and existence of this Agreement shall be kept confidential by the parties, except as required by law or agreed in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