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w:t>
      </w:r>
    </w:p>
    <w:p>
      <w:r>
        <w:t>2. Closing. Closing shall occur within 30 days of signing.</w:t>
      </w:r>
    </w:p>
    <w:p>
      <w:r>
        <w:t>3. Representations. The Seller represents and warrants that the financial statements fairly present the financial condition of the Company as of their dates and have been prepared in accordance with applicable accounting standards.</w:t>
      </w:r>
    </w:p>
    <w:p>
      <w:r>
        <w:t>4. Confidentiality. The terms and existence of this Agreement shall be kept confidential by the parties, except as required by law or agreed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