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45,000,000 for the Shares.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2. Closing. Closing shall occur within 30 days of signing.</w:t>
      </w:r>
      <w:commentRangeEnd w:id="1"/>
      <w:r>
        <w:rPr>
          <w:rStyle w:val="CommentReference"/>
        </w:rPr>
        <w:commentReference w:id="1"/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27:30Z">
    <w:p>
      <w:pPr>
        <w:pStyle w:val="CommentText"/>
      </w:pPr>
      <w:r>
        <w:rPr>
          <w:rStyle w:val="CommentReference"/>
        </w:rPr>
        <w:annotationRef/>
      </w:r>
      <w:r>
        <w:t>We propose that the Purchase Price be subject to adjustment based on the final determination of certain financial metrics following completion of due diligence.</w:t>
      </w:r>
    </w:p>
  </w:comment>
  <w:comment w:id="1" w:author="Drafting Associate" w:initials="DA" w:date="2026-10-26T13:27:30Z">
    <w:p>
      <w:pPr>
        <w:pStyle w:val="CommentText"/>
      </w:pPr>
      <w:r>
        <w:rPr>
          <w:rStyle w:val="CommentReference"/>
        </w:rPr>
        <w:annotationRef/>
      </w:r>
      <w:r>
        <w:t>Closing within 30 days is subject to the satisfaction of all conditions precedent to closing by both parties.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