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The Purchase Price shall be USD 45,000,000, subject to adjustment as set forth in this Agreement based on the final determination of the Target's net working capital, outstanding indebtedness, and cash balance as of the Closing Date. Any adjustment shall be calculated by a mutually agreed independent auditor and reflected in the final payment within 30 days following Closing. The Purchase Price adjustment shall not exceed plus or minus 10% of the stated amount.</w:t>
      </w:r>
    </w:p>
    <w:p>
      <w:r>
        <w:t>Closing shall occur within 30 days of signing, subject to satisfaction or waiver of all conditions precedent. Buyer shall have the right to extend the Closing date by up to an additional 30 days upon written notice to Seller if conditions precedent are not satisfied. Seller agrees to cooperate in good faith to facilitate Closing within the extended period.</w:t>
      </w:r>
    </w:p>
    <w:p>
      <w:r>
        <w:t>The Seller represents and warrants that all financial statements delivered to Buyer are true and accurate, that the Company has no undisclosed liabilities, and that all assets are free of material liens except as disclosed. The Seller further warrants compliance with all laws and absence of any material adverse change since the date of such financial statements.</w:t>
      </w:r>
    </w:p>
    <w:p>
      <w:r>
        <w:t>The terms of this Agreement and all information exchanged in connection with the transaction shall remain confidential and shall not be disclosed except as necessary to parties' advisors, lenders, or as required by law. Each party shall ensure their advisors adhere to confidentiality obligations no less restrictive than those set forth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