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and warrants that the financial statements are accurate and contain no material misstatements.</w:t>
      </w:r>
    </w:p>
    <w:p>
      <w:r>
        <w:t>4. Confidentiality. Both parties agree to keep confidential the terms of this Agreement and any information exchanged in connection with this transaction, subject to applicable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_reservation_price">
    <vt:lpwstr xmlns:vt="http://schemas.openxmlformats.org/officeDocument/2006/docPropsVTypes">38500000</vt:lpwstr>
  </property>
</Properties>
</file>