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This price reflects thorough financial analysis, including projected cash flows, asset valuations, and recent market comparables delivered as an annex to this Agreement.</w:t>
      </w:r>
    </w:p>
    <w:p>
      <w:r>
        <w:t>2. Closing. Closing shall occur within 35 days of signing.</w:t>
      </w:r>
    </w:p>
    <w:p>
      <w:r>
        <w:t>3. Representations. The Seller represents that the financial statements are accurate and fairly present the financial position of the Company in all material respects. The Seller further warrants, to the best of its knowledge, that there are no undisclosed contingent liabilities that would materially affect valuation.</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internal_reservation_price">
    <vt:lpwstr xmlns:vt="http://schemas.openxmlformats.org/officeDocument/2006/docPropsVTypes">36000000</vt:lpwstr>
  </property>
</Properties>
</file>