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r>
        <w:rPr>
          <w:vanish/>
        </w:rPr>
        <w:t>USD 36,000,000</w:t>
      </w:r>
    </w:p>
    <w:p>
      <w:r>
        <w:t>2. Closing. Closing shall occur within 30 days of signing, subject to the fulfillment of all conditions precedent, including receipt of all required consents and approvals by both parties.</w:t>
      </w:r>
    </w:p>
    <w:p>
      <w:r>
        <w:t>3. Representations. The Seller represents that the financial statements are accurate; the Company has good title to all assets; there are no pending litigations; and the Company complies with all applicable laws and regulations.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