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and Warranties.</w:t>
        <w:br/>
        <w:t>(a) The Seller represents and warrants that:</w:t>
        <w:br/>
        <w:t xml:space="preserve">    (i) The Seller has full authority to enter into and perform this Agreement.</w:t>
        <w:br/>
        <w:t xml:space="preserve">    (ii) Seller is the sole legal and beneficial owner of the Shares, free of any encumbrances.</w:t>
        <w:br/>
        <w:t xml:space="preserve">    (iii) The financial statements provided are true, complete and fairly present the financial position of the Company in all material respects.</w:t>
        <w:br/>
        <w:t xml:space="preserve">    (iv) The Company has no undisclosed material liabilities.</w:t>
        <w:br/>
        <w:t xml:space="preserve">    (v) To Seller’s knowledge, the Company is in material compliance with all applicable laws.</w:t>
        <w:br/>
        <w:t>(b) The Buyer represents and warrants that:</w:t>
        <w:br/>
        <w:t xml:space="preserve">    (i) The Buyer has full authority to enter into and perform this Agreement.</w:t>
        <w:br/>
        <w:t xml:space="preserve">    (ii) The Buyer has the funds necessary to pay the Purchase Price.</w:t>
        <w:br/>
        <w:t xml:space="preserve">    (iii) The execution and delivery of this Agreement do not violate any other agreement to which Buyer is party.</w:t>
        <w:br/>
      </w:r>
    </w:p>
    <w:p>
      <w:r>
        <w:t>4. Confidentiality. The terms of this Agreement and any information disclosed by either party in connection herewith shall be kept confidential by the parties and not disclosed to any third party except (a) to their respective advisers, financiers, and affiliates on a need-to-know basis, (b) where required by law or regulation, or (c) with the prior written consent of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